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tbl>
      <w:tblPr>
        <w:tblStyle w:val="8"/>
        <w:tblW w:w="9755" w:type="dxa"/>
        <w:jc w:val="center"/>
        <w:tblLayout w:type="fixed"/>
        <w:tblCellMar>
          <w:top w:w="0" w:type="dxa"/>
          <w:left w:w="60" w:type="dxa"/>
          <w:bottom w:w="0" w:type="dxa"/>
          <w:right w:w="60" w:type="dxa"/>
        </w:tblCellMar>
      </w:tblPr>
      <w:tblGrid>
        <w:gridCol w:w="725"/>
        <w:gridCol w:w="1178"/>
        <w:gridCol w:w="2835"/>
        <w:gridCol w:w="3110"/>
        <w:gridCol w:w="1907"/>
      </w:tblGrid>
      <w:tr>
        <w:tblPrEx>
          <w:tblCellMar>
            <w:top w:w="0" w:type="dxa"/>
            <w:left w:w="60" w:type="dxa"/>
            <w:bottom w:w="0" w:type="dxa"/>
            <w:right w:w="60" w:type="dxa"/>
          </w:tblCellMar>
        </w:tblPrEx>
        <w:trPr>
          <w:tblHeader/>
          <w:jc w:val="center"/>
        </w:trPr>
        <w:tc>
          <w:tcPr>
            <w:tcW w:w="9755" w:type="dxa"/>
            <w:gridSpan w:val="5"/>
            <w:tcBorders>
              <w:top w:val="single" w:color="auto" w:sz="6" w:space="0"/>
              <w:left w:val="single" w:color="auto" w:sz="6" w:space="0"/>
              <w:bottom w:val="single" w:color="auto" w:sz="4" w:space="0"/>
              <w:right w:val="single" w:color="auto" w:sz="6" w:space="0"/>
            </w:tcBorders>
          </w:tcPr>
          <w:p>
            <w:pPr>
              <w:tabs>
                <w:tab w:val="left" w:pos="0"/>
              </w:tabs>
              <w:suppressAutoHyphens/>
              <w:spacing w:before="66" w:after="54"/>
              <w:jc w:val="center"/>
              <w:rPr>
                <w:b/>
                <w:bCs/>
                <w:color w:val="000080"/>
                <w:spacing w:val="-2"/>
                <w:lang w:val="en-US" w:eastAsia="zh-CN"/>
              </w:rPr>
            </w:pPr>
            <w:r>
              <w:rPr>
                <w:rFonts w:hint="eastAsia"/>
                <w:b/>
                <w:bCs/>
                <w:color w:val="000080"/>
                <w:spacing w:val="-2"/>
                <w:lang w:val="en-US" w:eastAsia="zh-CN"/>
              </w:rPr>
              <w:t>GB 9706.1-2020</w:t>
            </w:r>
          </w:p>
        </w:tc>
      </w:tr>
      <w:tr>
        <w:tblPrEx>
          <w:tblCellMar>
            <w:top w:w="0" w:type="dxa"/>
            <w:left w:w="60" w:type="dxa"/>
            <w:bottom w:w="0" w:type="dxa"/>
            <w:right w:w="60" w:type="dxa"/>
          </w:tblCellMar>
        </w:tblPrEx>
        <w:trPr>
          <w:trHeight w:val="1162" w:hRule="atLeast"/>
          <w:tblHeader/>
          <w:jc w:val="center"/>
        </w:trPr>
        <w:tc>
          <w:tcPr>
            <w:tcW w:w="725" w:type="dxa"/>
            <w:tcBorders>
              <w:top w:val="single" w:color="auto" w:sz="6" w:space="0"/>
              <w:left w:val="single" w:color="auto" w:sz="6" w:space="0"/>
              <w:bottom w:val="single" w:color="auto" w:sz="4" w:space="0"/>
            </w:tcBorders>
            <w:vAlign w:val="center"/>
          </w:tcPr>
          <w:p>
            <w:pPr>
              <w:tabs>
                <w:tab w:val="left" w:pos="0"/>
              </w:tabs>
              <w:suppressAutoHyphens/>
              <w:spacing w:before="66" w:after="54"/>
              <w:jc w:val="center"/>
              <w:rPr>
                <w:b/>
                <w:bCs/>
                <w:color w:val="000080"/>
                <w:spacing w:val="-2"/>
                <w:lang w:eastAsia="zh-CN"/>
              </w:rPr>
            </w:pPr>
            <w:r>
              <w:rPr>
                <w:rFonts w:hint="eastAsia"/>
                <w:b/>
                <w:bCs/>
                <w:color w:val="000080"/>
                <w:spacing w:val="-2"/>
                <w:lang w:val="en-US" w:eastAsia="zh-CN"/>
              </w:rPr>
              <w:t>条款</w:t>
            </w:r>
          </w:p>
        </w:tc>
        <w:tc>
          <w:tcPr>
            <w:tcW w:w="1178" w:type="dxa"/>
            <w:tcBorders>
              <w:top w:val="single" w:color="auto" w:sz="6" w:space="0"/>
              <w:left w:val="single" w:color="auto" w:sz="6" w:space="0"/>
              <w:bottom w:val="single" w:color="auto" w:sz="4" w:space="0"/>
            </w:tcBorders>
            <w:vAlign w:val="center"/>
          </w:tcPr>
          <w:p>
            <w:pPr>
              <w:tabs>
                <w:tab w:val="left" w:pos="0"/>
              </w:tabs>
              <w:suppressAutoHyphens/>
              <w:spacing w:before="66" w:after="54"/>
              <w:jc w:val="center"/>
              <w:rPr>
                <w:b/>
                <w:bCs/>
                <w:color w:val="000080"/>
                <w:spacing w:val="-2"/>
                <w:lang w:val="en-US" w:eastAsia="zh-CN"/>
              </w:rPr>
            </w:pPr>
            <w:r>
              <w:rPr>
                <w:rFonts w:hint="eastAsia"/>
                <w:b/>
                <w:bCs/>
                <w:color w:val="000080"/>
                <w:spacing w:val="-2"/>
                <w:lang w:val="en-US" w:eastAsia="zh-CN"/>
              </w:rPr>
              <w:t>检验项目</w:t>
            </w:r>
          </w:p>
        </w:tc>
        <w:tc>
          <w:tcPr>
            <w:tcW w:w="2835" w:type="dxa"/>
            <w:tcBorders>
              <w:top w:val="single" w:color="auto" w:sz="6" w:space="0"/>
              <w:left w:val="single" w:color="auto" w:sz="6" w:space="0"/>
              <w:bottom w:val="single" w:color="auto" w:sz="4" w:space="0"/>
            </w:tcBorders>
            <w:vAlign w:val="center"/>
          </w:tcPr>
          <w:p>
            <w:pPr>
              <w:tabs>
                <w:tab w:val="left" w:pos="0"/>
              </w:tabs>
              <w:suppressAutoHyphens/>
              <w:spacing w:before="66" w:after="54"/>
              <w:jc w:val="center"/>
              <w:rPr>
                <w:b/>
                <w:bCs/>
                <w:color w:val="000080"/>
                <w:spacing w:val="-2"/>
                <w:lang w:val="en-US" w:eastAsia="zh-CN"/>
              </w:rPr>
            </w:pPr>
            <w:r>
              <w:rPr>
                <w:rFonts w:hint="eastAsia"/>
                <w:b/>
                <w:bCs/>
                <w:color w:val="000080"/>
                <w:spacing w:val="-2"/>
                <w:lang w:val="en-US" w:eastAsia="zh-CN"/>
              </w:rPr>
              <w:t>要求</w:t>
            </w:r>
            <w:r>
              <w:rPr>
                <w:b/>
                <w:bCs/>
                <w:color w:val="000080"/>
                <w:spacing w:val="-2"/>
              </w:rPr>
              <w:t>+</w:t>
            </w:r>
            <w:r>
              <w:rPr>
                <w:rFonts w:hint="eastAsia"/>
                <w:b/>
                <w:bCs/>
                <w:color w:val="000080"/>
                <w:spacing w:val="-2"/>
                <w:lang w:val="en-US" w:eastAsia="zh-CN"/>
              </w:rPr>
              <w:t>测试</w:t>
            </w:r>
          </w:p>
        </w:tc>
        <w:tc>
          <w:tcPr>
            <w:tcW w:w="3110" w:type="dxa"/>
            <w:tcBorders>
              <w:top w:val="single" w:color="auto" w:sz="6" w:space="0"/>
              <w:left w:val="single" w:color="auto" w:sz="6" w:space="0"/>
              <w:bottom w:val="single" w:color="auto" w:sz="4" w:space="0"/>
            </w:tcBorders>
            <w:vAlign w:val="center"/>
          </w:tcPr>
          <w:p>
            <w:pPr>
              <w:tabs>
                <w:tab w:val="left" w:pos="0"/>
              </w:tabs>
              <w:suppressAutoHyphens/>
              <w:spacing w:before="66" w:after="54"/>
              <w:jc w:val="center"/>
              <w:rPr>
                <w:b/>
                <w:bCs/>
                <w:color w:val="000080"/>
                <w:spacing w:val="-2"/>
                <w:lang w:val="en-US" w:eastAsia="zh-CN"/>
              </w:rPr>
            </w:pPr>
            <w:r>
              <w:rPr>
                <w:rFonts w:hint="eastAsia"/>
                <w:b/>
                <w:bCs/>
                <w:color w:val="000080"/>
                <w:spacing w:val="-2"/>
                <w:lang w:val="en-US" w:eastAsia="zh-CN"/>
              </w:rPr>
              <w:t>风险管理文档中涉及文件</w:t>
            </w:r>
          </w:p>
          <w:p>
            <w:pPr>
              <w:tabs>
                <w:tab w:val="left" w:pos="0"/>
              </w:tabs>
              <w:suppressAutoHyphens/>
              <w:spacing w:before="66" w:after="54"/>
              <w:jc w:val="center"/>
              <w:rPr>
                <w:b/>
                <w:bCs/>
                <w:color w:val="000080"/>
                <w:spacing w:val="-2"/>
                <w:lang w:val="en-US" w:eastAsia="zh-CN"/>
              </w:rPr>
            </w:pPr>
            <w:r>
              <w:rPr>
                <w:rFonts w:hint="eastAsia"/>
                <w:b/>
                <w:bCs/>
                <w:color w:val="000080"/>
                <w:spacing w:val="-2"/>
                <w:lang w:val="en-US" w:eastAsia="zh-CN"/>
              </w:rPr>
              <w:t>（文件号，段落）</w:t>
            </w:r>
          </w:p>
        </w:tc>
        <w:tc>
          <w:tcPr>
            <w:tcW w:w="1907" w:type="dxa"/>
            <w:tcBorders>
              <w:top w:val="single" w:color="auto" w:sz="6" w:space="0"/>
              <w:left w:val="single" w:color="auto" w:sz="6" w:space="0"/>
              <w:bottom w:val="single" w:color="auto" w:sz="4" w:space="0"/>
              <w:right w:val="single" w:color="auto" w:sz="6" w:space="0"/>
            </w:tcBorders>
            <w:vAlign w:val="center"/>
          </w:tcPr>
          <w:p>
            <w:pPr>
              <w:tabs>
                <w:tab w:val="left" w:pos="0"/>
              </w:tabs>
              <w:suppressAutoHyphens/>
              <w:spacing w:before="66" w:after="54"/>
              <w:jc w:val="center"/>
              <w:rPr>
                <w:b/>
                <w:bCs/>
                <w:color w:val="000080"/>
                <w:spacing w:val="-2"/>
                <w:lang w:eastAsia="zh-CN"/>
              </w:rPr>
            </w:pPr>
            <w:r>
              <w:rPr>
                <w:rFonts w:hint="eastAsia"/>
                <w:b/>
                <w:bCs/>
                <w:color w:val="000080"/>
                <w:spacing w:val="-2"/>
                <w:lang w:val="en-US" w:eastAsia="zh-CN"/>
              </w:rPr>
              <w:t>备注</w:t>
            </w:r>
          </w:p>
        </w:tc>
      </w:tr>
      <w:tr>
        <w:tblPrEx>
          <w:tblCellMar>
            <w:top w:w="0" w:type="dxa"/>
            <w:left w:w="60" w:type="dxa"/>
            <w:bottom w:w="0" w:type="dxa"/>
            <w:right w:w="60" w:type="dxa"/>
          </w:tblCellMar>
        </w:tblPrEx>
        <w:trPr>
          <w:cantSplit/>
          <w:jc w:val="center"/>
        </w:trPr>
        <w:tc>
          <w:tcPr>
            <w:tcW w:w="725" w:type="dxa"/>
            <w:tcBorders>
              <w:top w:val="single" w:color="auto" w:sz="6"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lang w:val="en-US" w:eastAsia="zh-CN"/>
              </w:rPr>
              <w:t>*</w:t>
            </w:r>
            <w:r>
              <w:rPr>
                <w:rFonts w:hint="eastAsia"/>
                <w:b/>
                <w:bCs/>
                <w:color w:val="000080"/>
                <w:spacing w:val="-2"/>
              </w:rPr>
              <w:t>4.2.2</w:t>
            </w:r>
          </w:p>
        </w:tc>
        <w:tc>
          <w:tcPr>
            <w:tcW w:w="1178" w:type="dxa"/>
            <w:tcBorders>
              <w:top w:val="single" w:color="auto" w:sz="6"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风险管理的通用要求</w:t>
            </w:r>
          </w:p>
        </w:tc>
        <w:tc>
          <w:tcPr>
            <w:tcW w:w="2835" w:type="dxa"/>
            <w:tcBorders>
              <w:top w:val="single" w:color="auto" w:sz="6"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lang w:eastAsia="zh-CN"/>
              </w:rPr>
              <w:t>风险管理的通用要求</w:t>
            </w:r>
          </w:p>
          <w:p>
            <w:pPr>
              <w:tabs>
                <w:tab w:val="left" w:leader="dot" w:pos="4253"/>
              </w:tabs>
              <w:suppressAutoHyphens/>
              <w:spacing w:before="66" w:after="54" w:line="240" w:lineRule="exact"/>
              <w:rPr>
                <w:b/>
                <w:bCs/>
                <w:color w:val="000080"/>
                <w:spacing w:val="-2"/>
                <w:lang w:eastAsia="zh-CN"/>
              </w:rPr>
            </w:pPr>
            <w:r>
              <w:rPr>
                <w:rFonts w:hint="eastAsia"/>
                <w:b/>
                <w:bCs/>
                <w:color w:val="000080"/>
                <w:spacing w:val="-2"/>
                <w:lang w:eastAsia="zh-CN"/>
              </w:rPr>
              <w:t>应执行符合YY/T 0316的风险管理过程</w:t>
            </w:r>
          </w:p>
          <w:p>
            <w:pPr>
              <w:tabs>
                <w:tab w:val="left" w:leader="dot" w:pos="4253"/>
              </w:tabs>
              <w:suppressAutoHyphens/>
              <w:spacing w:before="66" w:after="54" w:line="240" w:lineRule="exact"/>
              <w:rPr>
                <w:b/>
                <w:bCs/>
                <w:color w:val="000080"/>
                <w:spacing w:val="-2"/>
                <w:sz w:val="16"/>
                <w:szCs w:val="16"/>
                <w:lang w:val="en-US" w:eastAsia="zh-CN"/>
              </w:rPr>
            </w:pPr>
            <w:r>
              <w:rPr>
                <w:rFonts w:hint="eastAsia"/>
                <w:b/>
                <w:bCs/>
                <w:color w:val="000080"/>
                <w:spacing w:val="-2"/>
                <w:sz w:val="16"/>
                <w:szCs w:val="16"/>
                <w:lang w:val="en-US" w:eastAsia="zh-CN"/>
              </w:rPr>
              <w:t>注：符合性通过以下来确认：</w:t>
            </w:r>
          </w:p>
          <w:p>
            <w:pPr>
              <w:tabs>
                <w:tab w:val="left" w:leader="dot" w:pos="4253"/>
              </w:tabs>
              <w:suppressAutoHyphens/>
              <w:spacing w:before="66" w:after="54" w:line="240" w:lineRule="exact"/>
              <w:rPr>
                <w:b/>
                <w:bCs/>
                <w:color w:val="000080"/>
                <w:spacing w:val="-2"/>
                <w:sz w:val="16"/>
                <w:szCs w:val="16"/>
                <w:lang w:val="en-US" w:eastAsia="zh-CN"/>
              </w:rPr>
            </w:pPr>
            <w:r>
              <w:rPr>
                <w:rFonts w:hint="eastAsia"/>
                <w:b/>
                <w:bCs/>
                <w:color w:val="000080"/>
                <w:spacing w:val="-2"/>
                <w:sz w:val="16"/>
                <w:szCs w:val="16"/>
                <w:lang w:val="en-US" w:eastAsia="zh-CN"/>
              </w:rPr>
              <w:t>-- 检查制造商的方针来确定风险接受准则；</w:t>
            </w:r>
          </w:p>
          <w:p>
            <w:pPr>
              <w:tabs>
                <w:tab w:val="left" w:leader="dot" w:pos="4253"/>
              </w:tabs>
              <w:suppressAutoHyphens/>
              <w:spacing w:before="66" w:after="54" w:line="240" w:lineRule="exact"/>
              <w:rPr>
                <w:b/>
                <w:bCs/>
                <w:color w:val="000080"/>
                <w:spacing w:val="-2"/>
                <w:sz w:val="16"/>
                <w:szCs w:val="16"/>
                <w:lang w:val="en-US" w:eastAsia="zh-CN"/>
              </w:rPr>
            </w:pPr>
            <w:r>
              <w:rPr>
                <w:rFonts w:hint="eastAsia"/>
                <w:b/>
                <w:bCs/>
                <w:color w:val="000080"/>
                <w:spacing w:val="-2"/>
                <w:sz w:val="16"/>
                <w:szCs w:val="16"/>
                <w:lang w:val="en-US" w:eastAsia="zh-CN"/>
              </w:rPr>
              <w:t>-- 检查考虑中的特定的 ME 设备或 ME 系统的风险管理计划</w:t>
            </w:r>
          </w:p>
          <w:p>
            <w:pPr>
              <w:tabs>
                <w:tab w:val="left" w:leader="dot" w:pos="4253"/>
              </w:tabs>
              <w:suppressAutoHyphens/>
              <w:spacing w:before="66" w:after="54" w:line="240" w:lineRule="exact"/>
              <w:rPr>
                <w:b/>
                <w:bCs/>
                <w:color w:val="000080"/>
                <w:spacing w:val="-2"/>
                <w:lang w:val="en-US" w:eastAsia="zh-CN"/>
              </w:rPr>
            </w:pPr>
            <w:r>
              <w:rPr>
                <w:rFonts w:hint="eastAsia"/>
                <w:b/>
                <w:bCs/>
                <w:color w:val="000080"/>
                <w:spacing w:val="-2"/>
                <w:sz w:val="16"/>
                <w:szCs w:val="16"/>
                <w:lang w:val="en-US" w:eastAsia="zh-CN"/>
              </w:rPr>
              <w:t>-- 确认制造商准备了含有风险管理记录和本标准对考虑中的特定 ME 设备或 ME 系统要求的其它文件的风险管理文档。</w:t>
            </w:r>
          </w:p>
        </w:tc>
        <w:tc>
          <w:tcPr>
            <w:tcW w:w="3110" w:type="dxa"/>
            <w:tcBorders>
              <w:top w:val="single" w:color="auto" w:sz="6" w:space="0"/>
              <w:left w:val="single" w:color="auto" w:sz="6" w:space="0"/>
              <w:bottom w:val="single" w:color="auto" w:sz="4" w:space="0"/>
            </w:tcBorders>
          </w:tcPr>
          <w:p>
            <w:pPr>
              <w:rPr>
                <w:color w:val="000080"/>
                <w:lang w:val="en-US" w:eastAsia="zh-CN"/>
              </w:rPr>
            </w:pPr>
            <w:r>
              <w:rPr>
                <w:rFonts w:hint="eastAsia"/>
                <w:color w:val="000080"/>
                <w:lang w:val="en-US" w:eastAsia="zh-CN"/>
              </w:rPr>
              <w:t>见</w:t>
            </w:r>
            <w:r>
              <w:rPr>
                <w:color w:val="000080"/>
                <w:lang w:val="en-US" w:eastAsia="zh-CN"/>
              </w:rPr>
              <w:t>附录</w:t>
            </w:r>
            <w:r>
              <w:rPr>
                <w:rFonts w:hint="eastAsia"/>
                <w:color w:val="000080"/>
                <w:lang w:val="en-US" w:eastAsia="zh-CN"/>
              </w:rPr>
              <w:t>表</w:t>
            </w:r>
            <w:r>
              <w:rPr>
                <w:color w:val="000080"/>
                <w:lang w:val="en-US" w:eastAsia="zh-CN"/>
              </w:rPr>
              <w:t>4.2.2</w:t>
            </w:r>
          </w:p>
        </w:tc>
        <w:tc>
          <w:tcPr>
            <w:tcW w:w="1907" w:type="dxa"/>
            <w:tcBorders>
              <w:top w:val="single" w:color="auto" w:sz="6" w:space="0"/>
              <w:left w:val="single" w:color="auto" w:sz="6" w:space="0"/>
              <w:bottom w:val="single" w:color="auto" w:sz="4" w:space="0"/>
              <w:right w:val="single" w:color="auto" w:sz="6"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lang w:val="en-US" w:eastAsia="zh-CN"/>
              </w:rPr>
              <w:t>*</w:t>
            </w:r>
            <w:r>
              <w:rPr>
                <w:rFonts w:hint="eastAsia"/>
                <w:b/>
                <w:bCs/>
                <w:color w:val="000080"/>
                <w:spacing w:val="-2"/>
              </w:rPr>
              <w:t>4.3</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基本性能</w:t>
            </w:r>
          </w:p>
        </w:tc>
        <w:tc>
          <w:tcPr>
            <w:tcW w:w="2835"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lang w:eastAsia="zh-CN"/>
              </w:rPr>
              <w:t>在风险分析中，除了与基本安全相关的性能外，制造商还应识别ME设备或ME系统临床功能的性能，这对于实现预期用途是必须的，或者能够影响ME设备或ME系统的安全性</w:t>
            </w:r>
          </w:p>
          <w:p>
            <w:pPr>
              <w:tabs>
                <w:tab w:val="left" w:leader="dot" w:pos="4253"/>
              </w:tabs>
              <w:suppressAutoHyphens/>
              <w:spacing w:before="66" w:after="54" w:line="240" w:lineRule="exact"/>
            </w:pPr>
            <w:r>
              <w:rPr>
                <w:rFonts w:hint="eastAsia"/>
                <w:b/>
                <w:bCs/>
                <w:color w:val="000080"/>
                <w:spacing w:val="-2"/>
                <w:sz w:val="16"/>
                <w:szCs w:val="16"/>
                <w:lang w:val="en-US" w:eastAsia="zh-CN"/>
              </w:rPr>
              <w:t>注：当确定的性能丧失或低于制造商规定限值后，制造商应评估由此产生的风险。如果导致的风险是不可接受的，那么此性能即可确定为ME设备或ME系统的基本性能。</w:t>
            </w:r>
          </w:p>
        </w:tc>
        <w:tc>
          <w:tcPr>
            <w:tcW w:w="3110" w:type="dxa"/>
            <w:tcBorders>
              <w:top w:val="single" w:color="auto" w:sz="4" w:space="0"/>
              <w:left w:val="single" w:color="auto" w:sz="6" w:space="0"/>
              <w:bottom w:val="single" w:color="auto" w:sz="4" w:space="0"/>
            </w:tcBorders>
          </w:tcPr>
          <w:p>
            <w:pPr>
              <w:rPr>
                <w:color w:val="000080"/>
                <w:lang w:val="en-US" w:eastAsia="zh-CN"/>
              </w:rPr>
            </w:pPr>
            <w:r>
              <w:rPr>
                <w:rFonts w:hint="eastAsia"/>
                <w:color w:val="000080"/>
                <w:lang w:val="en-US" w:eastAsia="zh-CN"/>
              </w:rPr>
              <w:t>见</w:t>
            </w:r>
            <w:r>
              <w:rPr>
                <w:color w:val="000080"/>
                <w:lang w:val="en-US" w:eastAsia="zh-CN"/>
              </w:rPr>
              <w:t>附录</w:t>
            </w:r>
            <w:r>
              <w:rPr>
                <w:rFonts w:hint="eastAsia"/>
                <w:color w:val="000080"/>
                <w:lang w:val="en-US" w:eastAsia="zh-CN"/>
              </w:rPr>
              <w:t>表</w:t>
            </w:r>
            <w:r>
              <w:rPr>
                <w:color w:val="000080"/>
                <w:lang w:val="en-US" w:eastAsia="zh-CN"/>
              </w:rPr>
              <w:t>4.3</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lang w:val="en-US" w:eastAsia="zh-CN"/>
              </w:rPr>
            </w:pPr>
            <w:r>
              <w:rPr>
                <w:rFonts w:hint="eastAsia"/>
                <w:b/>
                <w:bCs/>
                <w:color w:val="000080"/>
                <w:spacing w:val="-2"/>
                <w:lang w:val="en-US" w:eastAsia="zh-CN"/>
              </w:rPr>
              <w:t>4.4</w:t>
            </w:r>
          </w:p>
        </w:tc>
        <w:tc>
          <w:tcPr>
            <w:tcW w:w="1178"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预期使用寿命</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制造商应在风险管理文档中声明ME设备或ME系统的预期使用寿命。</w:t>
            </w:r>
          </w:p>
        </w:tc>
        <w:tc>
          <w:tcPr>
            <w:tcW w:w="3110" w:type="dxa"/>
            <w:tcBorders>
              <w:top w:val="single" w:color="auto" w:sz="4" w:space="0"/>
              <w:left w:val="single" w:color="auto" w:sz="6" w:space="0"/>
              <w:bottom w:val="single" w:color="auto" w:sz="4" w:space="0"/>
            </w:tcBorders>
          </w:tcPr>
          <w:p>
            <w:pPr>
              <w:rPr>
                <w:color w:val="000080"/>
                <w:lang w:val="en-US" w:eastAsia="zh-CN"/>
              </w:rPr>
            </w:pPr>
            <w:r>
              <w:rPr>
                <w:rFonts w:hint="eastAsia"/>
                <w:color w:val="000080"/>
                <w:lang w:val="en-US" w:eastAsia="zh-CN"/>
              </w:rPr>
              <w:t>风险管理文档</w:t>
            </w:r>
            <w:r>
              <w:rPr>
                <w:color w:val="000080"/>
                <w:lang w:val="en-US" w:eastAsia="zh-CN"/>
              </w:rPr>
              <w:t>名称：</w:t>
            </w:r>
          </w:p>
          <w:p>
            <w:pPr>
              <w:rPr>
                <w:color w:val="000080"/>
                <w:lang w:val="en-US" w:eastAsia="zh-CN"/>
              </w:rPr>
            </w:pPr>
            <w:r>
              <w:rPr>
                <w:rFonts w:hint="eastAsia"/>
                <w:color w:val="000080"/>
                <w:lang w:val="en-US" w:eastAsia="zh-CN"/>
              </w:rPr>
              <w:t>风险管理</w:t>
            </w:r>
            <w:r>
              <w:rPr>
                <w:color w:val="000080"/>
                <w:lang w:val="en-US" w:eastAsia="zh-CN"/>
              </w:rPr>
              <w:t>文档编号：</w:t>
            </w:r>
          </w:p>
          <w:p>
            <w:pPr>
              <w:rPr>
                <w:color w:val="000080"/>
                <w:lang w:val="en-US" w:eastAsia="zh-CN"/>
              </w:rPr>
            </w:pPr>
            <w:r>
              <w:rPr>
                <w:rFonts w:hint="eastAsia"/>
                <w:color w:val="000080"/>
                <w:lang w:val="en-US" w:eastAsia="zh-CN"/>
              </w:rPr>
              <w:t>风险管理</w:t>
            </w:r>
            <w:r>
              <w:rPr>
                <w:color w:val="000080"/>
                <w:lang w:val="en-US" w:eastAsia="zh-CN"/>
              </w:rPr>
              <w:t>文档章节号：</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4.5</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ME设备或ME系统的替代的风险控制措施或试验方法</w:t>
            </w:r>
          </w:p>
        </w:tc>
        <w:tc>
          <w:tcPr>
            <w:tcW w:w="2835"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sz w:val="16"/>
                <w:szCs w:val="16"/>
                <w:lang w:val="en-US" w:eastAsia="zh-CN"/>
              </w:rPr>
            </w:pPr>
            <w:r>
              <w:rPr>
                <w:rFonts w:hint="eastAsia"/>
                <w:b/>
                <w:bCs/>
                <w:color w:val="000080"/>
                <w:spacing w:val="-2"/>
                <w:lang w:eastAsia="zh-CN"/>
              </w:rPr>
              <w:t>本部分规定的特定的风险控制措施或试验方法之处，如果制造商可以通过提供科学数据或临床意见或比较研究来证明应用替代的风险控制措施或替代的试验方法所得到的剩余风险仍然是可接受的，且与应用本标准的要求所得到的剩余风险可比，则风险控制替代的措施或试验方法是可接受</w:t>
            </w:r>
          </w:p>
          <w:p>
            <w:pPr>
              <w:tabs>
                <w:tab w:val="left" w:leader="dot" w:pos="4253"/>
              </w:tabs>
              <w:suppressAutoHyphens/>
              <w:spacing w:before="66" w:after="54" w:line="240" w:lineRule="exact"/>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Cl.4.2-4.4,5,6.2-6.5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lang w:val="en-US" w:eastAsia="zh-CN"/>
              </w:rPr>
              <w:t>*</w:t>
            </w:r>
            <w:r>
              <w:rPr>
                <w:rFonts w:hint="eastAsia"/>
                <w:b/>
                <w:bCs/>
                <w:color w:val="000080"/>
                <w:spacing w:val="-2"/>
              </w:rPr>
              <w:t>4.6</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与患者接触的ME设备或ME系统的部分</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若风险管理过程确定</w:t>
            </w:r>
            <w:r>
              <w:rPr>
                <w:rFonts w:hint="eastAsia"/>
                <w:b/>
                <w:bCs/>
                <w:color w:val="000080"/>
                <w:spacing w:val="-2"/>
                <w:szCs w:val="20"/>
                <w:lang w:val="en-US" w:eastAsia="zh-CN"/>
              </w:rPr>
              <w:t>那</w:t>
            </w:r>
            <w:r>
              <w:rPr>
                <w:rFonts w:hint="eastAsia"/>
                <w:b/>
                <w:bCs/>
                <w:color w:val="000080"/>
                <w:spacing w:val="-2"/>
                <w:szCs w:val="20"/>
                <w:lang w:eastAsia="zh-CN"/>
              </w:rPr>
              <w:t>些部分需符合应用部分的要求，除7.2.10不适用于那些部分外，本部分以及相关并列和专用标准的相关要求和试验应适用。</w:t>
            </w:r>
          </w:p>
          <w:p>
            <w:pPr>
              <w:spacing w:before="107" w:line="184" w:lineRule="auto"/>
              <w:rPr>
                <w:b/>
                <w:bCs/>
                <w:color w:val="000080"/>
                <w:spacing w:val="-2"/>
                <w:sz w:val="16"/>
                <w:szCs w:val="16"/>
                <w:lang w:val="en-US" w:eastAsia="zh-CN"/>
              </w:rPr>
            </w:pPr>
            <w:r>
              <w:rPr>
                <w:rFonts w:hint="eastAsia"/>
                <w:b/>
                <w:bCs/>
                <w:color w:val="000080"/>
                <w:spacing w:val="-2"/>
                <w:sz w:val="16"/>
                <w:szCs w:val="16"/>
                <w:lang w:val="en-US" w:eastAsia="zh-CN"/>
              </w:rPr>
              <w:t>注：风险管理过程中识别出某些部件可能会和患者接触，但其又不在应用部件定义中的部分需满足此条款。</w:t>
            </w:r>
          </w:p>
          <w:p>
            <w:pPr>
              <w:spacing w:before="107" w:line="184" w:lineRule="auto"/>
              <w:rPr>
                <w:b/>
                <w:bCs/>
                <w:color w:val="000080"/>
                <w:spacing w:val="-2"/>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Cl.4.2-4.4,5,6.2-6.5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rPr>
              <w:t>4.7</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ME设备的单一故障状态</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ME设备应被设计和制造成保持单一故障安全，或通过4.2的应用，确定风险仍然可接受。</w:t>
            </w:r>
          </w:p>
          <w:p>
            <w:pPr>
              <w:pStyle w:val="2"/>
              <w:spacing w:before="31" w:after="62"/>
              <w:rPr>
                <w:b/>
                <w:bCs/>
                <w:color w:val="000080"/>
                <w:spacing w:val="-2"/>
                <w:sz w:val="16"/>
                <w:szCs w:val="16"/>
                <w:lang w:eastAsia="zh-CN"/>
              </w:rPr>
            </w:pPr>
            <w:r>
              <w:rPr>
                <w:rFonts w:hint="eastAsia"/>
                <w:b/>
                <w:bCs/>
                <w:color w:val="000080"/>
                <w:spacing w:val="-2"/>
                <w:sz w:val="16"/>
                <w:szCs w:val="16"/>
                <w:lang w:val="en-US" w:eastAsia="zh-CN"/>
              </w:rPr>
              <w:t>注：</w:t>
            </w:r>
            <w:r>
              <w:rPr>
                <w:rFonts w:hint="eastAsia"/>
                <w:b/>
                <w:bCs/>
                <w:color w:val="000080"/>
                <w:spacing w:val="-2"/>
                <w:sz w:val="16"/>
                <w:szCs w:val="16"/>
                <w:lang w:eastAsia="zh-CN"/>
              </w:rPr>
              <w:t>通过应用13.2确定的与单一故障状态相关的规范要求和试验，和从评价风险分析结果确定的故障的试验来确定是否符合。如果每次引入13.2所述任意单一故障状态中的一个而不会直接导致13.1所述的危险情况，或任何其他不可接受风险的结果，则认为是符合要求的。</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rPr>
              <w:t>4.8</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ME设备的元器件</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除本部分中特殊规定的或通过风险管理过程控制的特例外,其故障可能导致危险情况的所有元器件，包括电线，应根据它们规定的额定值使用。</w:t>
            </w:r>
          </w:p>
          <w:p>
            <w:pPr>
              <w:spacing w:before="107" w:line="184" w:lineRule="auto"/>
              <w:rPr>
                <w:b/>
                <w:bCs/>
                <w:color w:val="000080"/>
                <w:spacing w:val="-2"/>
                <w:sz w:val="16"/>
                <w:szCs w:val="16"/>
                <w:lang w:val="en-US" w:eastAsia="zh-CN"/>
              </w:rPr>
            </w:pPr>
            <w:r>
              <w:rPr>
                <w:rFonts w:hint="eastAsia"/>
                <w:b/>
                <w:bCs/>
                <w:color w:val="000080"/>
                <w:spacing w:val="-2"/>
                <w:sz w:val="16"/>
                <w:szCs w:val="16"/>
                <w:lang w:val="en-US" w:eastAsia="zh-CN"/>
              </w:rPr>
              <w:t>注：</w:t>
            </w:r>
            <w:r>
              <w:rPr>
                <w:rFonts w:hint="eastAsia"/>
                <w:b/>
                <w:bCs/>
                <w:color w:val="000080"/>
                <w:spacing w:val="-2"/>
                <w:sz w:val="16"/>
                <w:szCs w:val="16"/>
                <w:lang w:eastAsia="zh-CN"/>
              </w:rPr>
              <w:t>风险管理流程</w:t>
            </w:r>
            <w:r>
              <w:rPr>
                <w:rFonts w:hint="eastAsia"/>
                <w:b/>
                <w:bCs/>
                <w:color w:val="000080"/>
                <w:spacing w:val="-2"/>
                <w:sz w:val="16"/>
                <w:szCs w:val="16"/>
                <w:lang w:val="en-US" w:eastAsia="zh-CN"/>
              </w:rPr>
              <w:t>应论证是否存在例外允许待评估器械的元器件不按额定参数使用。</w:t>
            </w:r>
          </w:p>
          <w:p>
            <w:pPr>
              <w:rPr>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Cl.4.2-4.4,5,6.2-6.5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tabs>
                <w:tab w:val="left" w:leader="dot" w:pos="4253"/>
              </w:tabs>
              <w:suppressAutoHyphens/>
              <w:spacing w:before="66" w:after="54" w:line="240" w:lineRule="exact"/>
              <w:rPr>
                <w:b/>
                <w:bCs/>
                <w:color w:val="000080"/>
                <w:spacing w:val="-2"/>
                <w:lang w:eastAsia="zh-CN"/>
              </w:rPr>
            </w:pPr>
            <w:r>
              <w:rPr>
                <w:rFonts w:hint="eastAsia"/>
                <w:b/>
                <w:bCs/>
                <w:color w:val="000080"/>
                <w:spacing w:val="-2"/>
              </w:rPr>
              <w:t>4.9</w:t>
            </w:r>
          </w:p>
        </w:tc>
        <w:tc>
          <w:tcPr>
            <w:tcW w:w="1178" w:type="dxa"/>
            <w:tcBorders>
              <w:top w:val="single" w:color="auto" w:sz="4" w:space="0"/>
              <w:left w:val="single" w:color="auto" w:sz="6" w:space="0"/>
              <w:bottom w:val="single" w:color="auto" w:sz="4" w:space="0"/>
            </w:tcBorders>
          </w:tcPr>
          <w:p>
            <w:pPr>
              <w:tabs>
                <w:tab w:val="left" w:leader="dot" w:pos="4253"/>
              </w:tabs>
              <w:suppressAutoHyphens/>
              <w:spacing w:before="66" w:after="54" w:line="240" w:lineRule="exact"/>
              <w:rPr>
                <w:b/>
                <w:bCs/>
                <w:color w:val="000080"/>
                <w:spacing w:val="-2"/>
              </w:rPr>
            </w:pPr>
            <w:r>
              <w:rPr>
                <w:rFonts w:hint="eastAsia"/>
                <w:b/>
                <w:bCs/>
                <w:color w:val="000080"/>
                <w:spacing w:val="-2"/>
              </w:rPr>
              <w:t>ME设备中高完善性元器件的使用</w:t>
            </w:r>
          </w:p>
        </w:tc>
        <w:tc>
          <w:tcPr>
            <w:tcW w:w="2835" w:type="dxa"/>
            <w:tcBorders>
              <w:top w:val="single" w:color="auto" w:sz="4" w:space="0"/>
              <w:left w:val="single" w:color="auto" w:sz="6" w:space="0"/>
              <w:bottom w:val="single" w:color="auto" w:sz="4" w:space="0"/>
            </w:tcBorders>
          </w:tcPr>
          <w:p>
            <w:pPr>
              <w:spacing w:before="107" w:line="184" w:lineRule="auto"/>
              <w:rPr>
                <w:b/>
                <w:bCs/>
                <w:color w:val="000080"/>
                <w:spacing w:val="-2"/>
                <w:sz w:val="16"/>
                <w:szCs w:val="16"/>
                <w:lang w:val="en-US" w:eastAsia="zh-CN"/>
              </w:rPr>
            </w:pPr>
            <w:r>
              <w:rPr>
                <w:rFonts w:hint="eastAsia"/>
                <w:b/>
                <w:bCs/>
                <w:color w:val="000080"/>
                <w:spacing w:val="-2"/>
                <w:lang w:eastAsia="zh-CN"/>
              </w:rPr>
              <w:t>当某一特定元器件的一个故障可产生不可接受的风险时，应使用高完善性元器件。高完善性元器件选择和评价应符合其在ME设备预期使用寿命内的使用条件和可预见的合理的误用。</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Cl.4.2-4.4,5,6.2-6.5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lang w:val="en-US" w:eastAsia="zh-CN"/>
              </w:rPr>
              <w:t>*</w:t>
            </w:r>
            <w:r>
              <w:rPr>
                <w:rFonts w:hint="eastAsia"/>
                <w:b/>
                <w:bCs/>
                <w:color w:val="000080"/>
                <w:spacing w:val="-2"/>
              </w:rPr>
              <w:t>5.1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lang w:eastAsia="zh-CN"/>
              </w:rPr>
              <w:t>型式试验</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 w:val="16"/>
                <w:szCs w:val="16"/>
                <w:lang w:eastAsia="zh-CN"/>
              </w:rPr>
            </w:pPr>
            <w:r>
              <w:rPr>
                <w:rFonts w:hint="eastAsia"/>
                <w:b/>
                <w:bCs/>
                <w:color w:val="000080"/>
                <w:spacing w:val="-2"/>
                <w:lang w:eastAsia="zh-CN"/>
              </w:rPr>
              <w:t>同时发生的独立故障组合可能导致危险情况的应记录在风险管理文档中（见4.7）。</w:t>
            </w:r>
          </w:p>
          <w:p>
            <w:pPr>
              <w:rPr>
                <w:b/>
                <w:bCs/>
                <w:color w:val="000080"/>
                <w:spacing w:val="-2"/>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tcBorders>
          </w:tcPr>
          <w:p>
            <w:pPr>
              <w:rPr>
                <w:b/>
                <w:bCs/>
                <w:color w:val="000080"/>
                <w:spacing w:val="-2"/>
                <w:lang w:eastAsia="zh-CN"/>
              </w:rPr>
            </w:pPr>
            <w:r>
              <w:rPr>
                <w:rFonts w:hint="eastAsia"/>
                <w:b/>
                <w:bCs/>
                <w:color w:val="000080"/>
                <w:spacing w:val="-2"/>
              </w:rPr>
              <w:t>7.2.2</w:t>
            </w:r>
          </w:p>
        </w:tc>
        <w:tc>
          <w:tcPr>
            <w:tcW w:w="1178" w:type="dxa"/>
            <w:tcBorders>
              <w:top w:val="single" w:color="auto" w:sz="4" w:space="0"/>
              <w:left w:val="single" w:color="auto" w:sz="6" w:space="0"/>
            </w:tcBorders>
          </w:tcPr>
          <w:p>
            <w:pPr>
              <w:rPr>
                <w:b/>
                <w:bCs/>
                <w:color w:val="000080"/>
                <w:spacing w:val="-2"/>
              </w:rPr>
            </w:pPr>
            <w:r>
              <w:rPr>
                <w:rFonts w:hint="eastAsia"/>
                <w:b/>
                <w:bCs/>
                <w:color w:val="000080"/>
                <w:spacing w:val="-2"/>
              </w:rPr>
              <w:t>标识</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风险管理文件包括错误</w:t>
            </w:r>
            <w:r>
              <w:rPr>
                <w:b/>
                <w:bCs/>
                <w:color w:val="000080"/>
                <w:spacing w:val="-2"/>
                <w:szCs w:val="20"/>
                <w:lang w:eastAsia="zh-CN"/>
              </w:rPr>
              <w:t>识别</w:t>
            </w:r>
            <w:r>
              <w:rPr>
                <w:rFonts w:hint="eastAsia"/>
                <w:b/>
                <w:bCs/>
                <w:color w:val="000080"/>
                <w:spacing w:val="-2"/>
                <w:szCs w:val="20"/>
                <w:lang w:eastAsia="zh-CN"/>
              </w:rPr>
              <w:t>所有可拆卸零件相关的风险评估；</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Cl.4.2-4.4,5,6.4</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7.2.17</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保护性包装</w:t>
            </w:r>
          </w:p>
        </w:tc>
        <w:tc>
          <w:tcPr>
            <w:tcW w:w="2835" w:type="dxa"/>
            <w:tcBorders>
              <w:top w:val="single" w:color="auto" w:sz="4" w:space="0"/>
              <w:left w:val="single" w:color="auto" w:sz="6" w:space="0"/>
              <w:bottom w:val="single" w:color="auto" w:sz="4" w:space="0"/>
            </w:tcBorders>
          </w:tcPr>
          <w:p>
            <w:pPr>
              <w:pStyle w:val="2"/>
              <w:spacing w:before="31" w:after="62"/>
              <w:rPr>
                <w:rFonts w:hint="default"/>
                <w:b/>
                <w:bCs/>
                <w:color w:val="000080"/>
                <w:spacing w:val="-2"/>
                <w:szCs w:val="20"/>
                <w:lang w:val="en-US" w:eastAsia="zh-CN"/>
              </w:rPr>
            </w:pPr>
            <w:r>
              <w:rPr>
                <w:rFonts w:hint="eastAsia"/>
                <w:b/>
                <w:bCs/>
                <w:color w:val="000080"/>
                <w:spacing w:val="-2"/>
                <w:szCs w:val="20"/>
                <w:lang w:eastAsia="zh-CN"/>
              </w:rPr>
              <w:t>风险管理</w:t>
            </w:r>
            <w:r>
              <w:rPr>
                <w:b/>
                <w:bCs/>
                <w:color w:val="000080"/>
                <w:spacing w:val="-2"/>
                <w:szCs w:val="20"/>
                <w:lang w:eastAsia="zh-CN"/>
              </w:rPr>
              <w:t>文件</w:t>
            </w:r>
            <w:r>
              <w:rPr>
                <w:rFonts w:hint="eastAsia"/>
                <w:b/>
                <w:bCs/>
                <w:color w:val="000080"/>
                <w:spacing w:val="-2"/>
                <w:szCs w:val="20"/>
                <w:lang w:val="en-US" w:eastAsia="zh-CN"/>
              </w:rPr>
              <w:t>应</w:t>
            </w:r>
            <w:r>
              <w:rPr>
                <w:b/>
                <w:bCs/>
                <w:color w:val="000080"/>
                <w:spacing w:val="-2"/>
                <w:szCs w:val="20"/>
                <w:lang w:eastAsia="zh-CN"/>
              </w:rPr>
              <w:t>包含</w:t>
            </w:r>
            <w:r>
              <w:rPr>
                <w:rFonts w:hint="eastAsia"/>
                <w:b/>
                <w:bCs/>
                <w:color w:val="000080"/>
                <w:spacing w:val="-2"/>
                <w:szCs w:val="20"/>
                <w:lang w:eastAsia="zh-CN"/>
              </w:rPr>
              <w:t>过早地拆开ME设备或其部件包装</w:t>
            </w:r>
            <w:r>
              <w:rPr>
                <w:rFonts w:hint="eastAsia"/>
                <w:b/>
                <w:bCs/>
                <w:color w:val="000080"/>
                <w:spacing w:val="-2"/>
                <w:szCs w:val="20"/>
                <w:lang w:val="en-US" w:eastAsia="zh-CN"/>
              </w:rPr>
              <w:t>的</w:t>
            </w:r>
            <w:r>
              <w:rPr>
                <w:rFonts w:hint="eastAsia"/>
                <w:b/>
                <w:bCs/>
                <w:color w:val="000080"/>
                <w:spacing w:val="-2"/>
                <w:szCs w:val="20"/>
                <w:lang w:eastAsia="zh-CN"/>
              </w:rPr>
              <w:t>风险</w:t>
            </w:r>
            <w:r>
              <w:rPr>
                <w:b/>
                <w:bCs/>
                <w:color w:val="000080"/>
                <w:spacing w:val="-2"/>
                <w:szCs w:val="20"/>
                <w:lang w:eastAsia="zh-CN"/>
              </w:rPr>
              <w:t>评估</w:t>
            </w:r>
            <w:r>
              <w:rPr>
                <w:rFonts w:hint="eastAsia"/>
                <w:b/>
                <w:bCs/>
                <w:color w:val="000080"/>
                <w:spacing w:val="-2"/>
                <w:szCs w:val="20"/>
                <w:lang w:eastAsia="zh-CN"/>
              </w:rPr>
              <w:t>，</w:t>
            </w:r>
            <w:r>
              <w:rPr>
                <w:rFonts w:hint="eastAsia"/>
                <w:b/>
                <w:bCs/>
                <w:color w:val="000080"/>
                <w:spacing w:val="-2"/>
                <w:szCs w:val="20"/>
                <w:lang w:val="en-US" w:eastAsia="zh-CN"/>
              </w:rPr>
              <w:t>若会导致不可接受的风险则包装上应标记合适的安全标志</w:t>
            </w:r>
            <w:r>
              <w:rPr>
                <w:rFonts w:hint="eastAsia"/>
                <w:b/>
                <w:bCs/>
                <w:color w:val="000080"/>
                <w:spacing w:val="-2"/>
                <w:szCs w:val="20"/>
                <w:lang w:eastAsia="zh-CN"/>
              </w:rPr>
              <w:t>（见7.5）</w:t>
            </w:r>
            <w:r>
              <w:rPr>
                <w:rFonts w:hint="eastAsia"/>
                <w:b/>
                <w:bCs/>
                <w:color w:val="000080"/>
                <w:spacing w:val="-2"/>
                <w:szCs w:val="20"/>
                <w:lang w:val="en-US" w:eastAsia="zh-CN"/>
              </w:rPr>
              <w:t>。</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Cl.4.2-4.4,5,6.3</w:t>
            </w:r>
            <w:r>
              <w:rPr>
                <w:rFonts w:hint="eastAsia"/>
                <w:b/>
                <w:bCs/>
                <w:color w:val="000080"/>
                <w:spacing w:val="-2"/>
                <w:sz w:val="18"/>
                <w:szCs w:val="16"/>
                <w:lang w:val="en-US" w:eastAsia="zh-CN"/>
              </w:rPr>
              <w:t>,</w:t>
            </w:r>
            <w:r>
              <w:rPr>
                <w:b/>
                <w:bCs/>
                <w:color w:val="000080"/>
                <w:spacing w:val="-2"/>
                <w:sz w:val="18"/>
                <w:szCs w:val="16"/>
                <w:lang w:val="en-US" w:eastAsia="zh-CN"/>
              </w:rPr>
              <w:t>6.4</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7.3.3</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电池</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当锂电池或燃料电池被装入，并当不正确替换会导致不可接受的风险，除了在随附文件资料中给出识别标记外，还应警示未经充分培训的人员替换电池会导致危险（源）（诸如超温，着火或爆炸）。</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Cl.4.2-4.4,5,6.3</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lang w:eastAsia="zh-CN"/>
              </w:rPr>
            </w:pPr>
            <w:r>
              <w:rPr>
                <w:rFonts w:hint="eastAsia"/>
                <w:color w:val="000080"/>
                <w:lang w:eastAsia="zh-CN"/>
              </w:rPr>
              <w:t>风险编号</w:t>
            </w:r>
            <w:r>
              <w:rPr>
                <w:color w:val="000080"/>
                <w:lang w:eastAsia="zh-CN"/>
              </w:rPr>
              <w:t>：</w:t>
            </w:r>
          </w:p>
          <w:p>
            <w:pPr>
              <w:suppressAutoHyphens/>
              <w:spacing w:before="66" w:after="54" w:line="240" w:lineRule="exact"/>
              <w:rPr>
                <w:color w:val="000080"/>
                <w:lang w:eastAsia="zh-CN"/>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7.3.7</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供电端子</w:t>
            </w:r>
          </w:p>
        </w:tc>
        <w:tc>
          <w:tcPr>
            <w:tcW w:w="2835" w:type="dxa"/>
            <w:tcBorders>
              <w:top w:val="single" w:color="auto" w:sz="4" w:space="0"/>
              <w:left w:val="single" w:color="auto" w:sz="6" w:space="0"/>
              <w:bottom w:val="single" w:color="auto" w:sz="4" w:space="0"/>
            </w:tcBorders>
          </w:tcPr>
          <w:p>
            <w:pPr>
              <w:pStyle w:val="2"/>
              <w:spacing w:before="31" w:after="62"/>
              <w:rPr>
                <w:rFonts w:hint="default"/>
                <w:b/>
                <w:bCs/>
                <w:color w:val="000080"/>
                <w:spacing w:val="-2"/>
                <w:szCs w:val="20"/>
                <w:lang w:val="en-US" w:eastAsia="zh-CN"/>
              </w:rPr>
            </w:pPr>
            <w:r>
              <w:rPr>
                <w:rFonts w:hint="eastAsia"/>
                <w:b/>
                <w:bCs/>
                <w:color w:val="000080"/>
                <w:spacing w:val="-2"/>
                <w:szCs w:val="20"/>
                <w:lang w:eastAsia="zh-CN"/>
              </w:rPr>
              <w:t>风险管理</w:t>
            </w:r>
            <w:r>
              <w:rPr>
                <w:b/>
                <w:bCs/>
                <w:color w:val="000080"/>
                <w:spacing w:val="-2"/>
                <w:szCs w:val="20"/>
                <w:lang w:eastAsia="zh-CN"/>
              </w:rPr>
              <w:t>文件</w:t>
            </w:r>
            <w:r>
              <w:rPr>
                <w:rFonts w:hint="eastAsia"/>
                <w:b/>
                <w:bCs/>
                <w:color w:val="000080"/>
                <w:spacing w:val="-2"/>
                <w:szCs w:val="20"/>
                <w:lang w:val="en-US" w:eastAsia="zh-CN"/>
              </w:rPr>
              <w:t>应</w:t>
            </w:r>
            <w:r>
              <w:rPr>
                <w:b/>
                <w:bCs/>
                <w:color w:val="000080"/>
                <w:spacing w:val="-2"/>
                <w:szCs w:val="20"/>
                <w:lang w:eastAsia="zh-CN"/>
              </w:rPr>
              <w:t>包含</w:t>
            </w:r>
            <w:r>
              <w:rPr>
                <w:rFonts w:hint="eastAsia"/>
                <w:b/>
                <w:bCs/>
                <w:color w:val="000080"/>
                <w:spacing w:val="-2"/>
                <w:szCs w:val="20"/>
                <w:lang w:eastAsia="zh-CN"/>
              </w:rPr>
              <w:t>错误连接</w:t>
            </w:r>
            <w:r>
              <w:rPr>
                <w:b/>
                <w:bCs/>
                <w:color w:val="000080"/>
                <w:spacing w:val="-2"/>
                <w:szCs w:val="20"/>
                <w:lang w:eastAsia="zh-CN"/>
              </w:rPr>
              <w:t>的</w:t>
            </w:r>
            <w:r>
              <w:rPr>
                <w:rFonts w:hint="eastAsia"/>
                <w:b/>
                <w:bCs/>
                <w:color w:val="000080"/>
                <w:spacing w:val="-2"/>
                <w:szCs w:val="20"/>
                <w:lang w:eastAsia="zh-CN"/>
              </w:rPr>
              <w:t>风险</w:t>
            </w:r>
            <w:r>
              <w:rPr>
                <w:b/>
                <w:bCs/>
                <w:color w:val="000080"/>
                <w:spacing w:val="-2"/>
                <w:szCs w:val="20"/>
                <w:lang w:eastAsia="zh-CN"/>
              </w:rPr>
              <w:t>评估</w:t>
            </w:r>
            <w:r>
              <w:rPr>
                <w:rFonts w:hint="eastAsia"/>
                <w:b/>
                <w:bCs/>
                <w:color w:val="000080"/>
                <w:spacing w:val="-2"/>
                <w:szCs w:val="20"/>
                <w:lang w:eastAsia="zh-CN"/>
              </w:rPr>
              <w:t>，</w:t>
            </w:r>
            <w:r>
              <w:rPr>
                <w:rFonts w:hint="eastAsia"/>
                <w:b/>
                <w:bCs/>
                <w:color w:val="000080"/>
                <w:spacing w:val="-2"/>
                <w:szCs w:val="20"/>
                <w:lang w:val="en-US" w:eastAsia="zh-CN"/>
              </w:rPr>
              <w:t>若会导致不可接受的风险则需在端子的相邻处做标记</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lang w:eastAsia="zh-CN"/>
              </w:rPr>
            </w:pPr>
            <w:r>
              <w:rPr>
                <w:rFonts w:hint="eastAsia"/>
                <w:color w:val="000080"/>
                <w:lang w:eastAsia="zh-CN"/>
              </w:rPr>
              <w:t>风险编号</w:t>
            </w:r>
            <w:r>
              <w:rPr>
                <w:color w:val="000080"/>
                <w:lang w:eastAsia="zh-CN"/>
              </w:rPr>
              <w:t>：</w:t>
            </w:r>
          </w:p>
          <w:p>
            <w:pPr>
              <w:suppressAutoHyphens/>
              <w:spacing w:before="66" w:after="54" w:line="240" w:lineRule="exact"/>
              <w:rPr>
                <w:color w:val="000080"/>
                <w:lang w:eastAsia="zh-CN"/>
              </w:rPr>
            </w:pP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7.4.2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控制装置</w:t>
            </w:r>
          </w:p>
        </w:tc>
        <w:tc>
          <w:tcPr>
            <w:tcW w:w="2835" w:type="dxa"/>
            <w:tcBorders>
              <w:top w:val="single" w:color="auto" w:sz="4" w:space="0"/>
              <w:left w:val="single" w:color="auto" w:sz="6" w:space="0"/>
              <w:bottom w:val="single" w:color="auto" w:sz="4" w:space="0"/>
            </w:tcBorders>
          </w:tcPr>
          <w:p>
            <w:pPr>
              <w:rPr>
                <w:rFonts w:hint="default"/>
                <w:lang w:val="en-US" w:eastAsia="zh-CN"/>
              </w:rPr>
            </w:pPr>
            <w:r>
              <w:rPr>
                <w:rFonts w:hint="eastAsia"/>
                <w:b/>
                <w:bCs/>
                <w:color w:val="000080"/>
                <w:spacing w:val="-2"/>
                <w:szCs w:val="20"/>
                <w:lang w:eastAsia="zh-CN"/>
              </w:rPr>
              <w:t>风险管理文件应确认当正常使用时</w:t>
            </w:r>
            <w:r>
              <w:rPr>
                <w:b/>
                <w:bCs/>
                <w:color w:val="000080"/>
                <w:spacing w:val="-2"/>
                <w:szCs w:val="20"/>
                <w:lang w:eastAsia="zh-CN"/>
              </w:rPr>
              <w:t>，</w:t>
            </w:r>
            <w:r>
              <w:rPr>
                <w:rFonts w:hint="eastAsia"/>
                <w:b/>
                <w:bCs/>
                <w:color w:val="000080"/>
                <w:spacing w:val="-2"/>
                <w:szCs w:val="20"/>
                <w:lang w:eastAsia="zh-CN"/>
              </w:rPr>
              <w:t>设置的变化可能导致不可接受风险的控制措施</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Cl.4.2-4.4,5,6.2</w:t>
            </w:r>
            <w:r>
              <w:rPr>
                <w:rFonts w:hint="eastAsia"/>
                <w:b/>
                <w:bCs/>
                <w:color w:val="000080"/>
                <w:spacing w:val="-2"/>
                <w:sz w:val="18"/>
                <w:szCs w:val="16"/>
                <w:lang w:val="en-US" w:eastAsia="zh-CN"/>
              </w:rPr>
              <w:t>,</w:t>
            </w:r>
            <w:r>
              <w:rPr>
                <w:b/>
                <w:bCs/>
                <w:color w:val="000080"/>
                <w:spacing w:val="-2"/>
                <w:sz w:val="18"/>
                <w:szCs w:val="16"/>
                <w:lang w:val="en-US" w:eastAsia="zh-CN"/>
              </w:rPr>
              <w:t>6.3</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7.5</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安全标志</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lang w:eastAsia="zh-CN"/>
              </w:rPr>
              <w:t>风险管理过程应确定</w:t>
            </w:r>
            <w:r>
              <w:rPr>
                <w:rFonts w:hint="eastAsia"/>
                <w:b/>
                <w:bCs/>
                <w:color w:val="000080"/>
                <w:spacing w:val="-2"/>
                <w:lang w:val="en-US" w:eastAsia="zh-CN"/>
              </w:rPr>
              <w:t>是否通过使用</w:t>
            </w:r>
            <w:r>
              <w:rPr>
                <w:rFonts w:hint="eastAsia"/>
                <w:b/>
                <w:bCs/>
                <w:color w:val="000080"/>
                <w:spacing w:val="-2"/>
                <w:lang w:eastAsia="zh-CN"/>
              </w:rPr>
              <w:t>用于传达警告、禁止或强制性行动的标记，以减轻操作员不明显的风险</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 6.3</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7.9.2.4</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电源</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w:t>
            </w:r>
            <w:r>
              <w:rPr>
                <w:b/>
                <w:bCs/>
                <w:color w:val="000080"/>
                <w:spacing w:val="-2"/>
                <w:szCs w:val="20"/>
                <w:lang w:eastAsia="zh-CN"/>
              </w:rPr>
              <w:t>应评估</w:t>
            </w:r>
            <w:r>
              <w:rPr>
                <w:rFonts w:hint="eastAsia"/>
                <w:b/>
                <w:bCs/>
                <w:color w:val="000080"/>
                <w:spacing w:val="-2"/>
                <w:szCs w:val="20"/>
                <w:lang w:eastAsia="zh-CN"/>
              </w:rPr>
              <w:t>电池</w:t>
            </w:r>
            <w:r>
              <w:rPr>
                <w:rFonts w:hint="eastAsia"/>
                <w:b/>
                <w:bCs/>
                <w:color w:val="000080"/>
                <w:spacing w:val="-2"/>
                <w:szCs w:val="20"/>
                <w:lang w:val="en-US" w:eastAsia="zh-CN"/>
              </w:rPr>
              <w:t>泄露</w:t>
            </w:r>
            <w:r>
              <w:rPr>
                <w:b/>
                <w:bCs/>
                <w:color w:val="000080"/>
                <w:spacing w:val="-2"/>
                <w:szCs w:val="20"/>
                <w:lang w:eastAsia="zh-CN"/>
              </w:rPr>
              <w:t>导致的</w:t>
            </w:r>
            <w:r>
              <w:rPr>
                <w:rFonts w:hint="eastAsia"/>
                <w:b/>
                <w:bCs/>
                <w:color w:val="000080"/>
                <w:spacing w:val="-2"/>
                <w:szCs w:val="20"/>
                <w:lang w:eastAsia="zh-CN"/>
              </w:rPr>
              <w:t>风险</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 6.3</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7.9.3.2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熔断器、电源软电线和其他部件的更换</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w:t>
            </w:r>
            <w:r>
              <w:rPr>
                <w:b/>
                <w:bCs/>
                <w:color w:val="000080"/>
                <w:spacing w:val="-2"/>
                <w:szCs w:val="20"/>
                <w:lang w:eastAsia="zh-CN"/>
              </w:rPr>
              <w:t>文档应</w:t>
            </w:r>
            <w:r>
              <w:rPr>
                <w:rFonts w:hint="eastAsia"/>
                <w:b/>
                <w:bCs/>
                <w:color w:val="000080"/>
                <w:spacing w:val="-2"/>
                <w:szCs w:val="20"/>
                <w:lang w:val="en-US" w:eastAsia="zh-CN"/>
              </w:rPr>
              <w:t>包含元器件更换的风险评估，若会导致不可接受的风险，则需</w:t>
            </w:r>
            <w:r>
              <w:rPr>
                <w:rFonts w:hint="default" w:ascii="Times New Roman" w:hAnsi="Times New Roman" w:eastAsia="宋体" w:cs="Times New Roman"/>
                <w:b/>
                <w:bCs/>
                <w:color w:val="000080"/>
                <w:spacing w:val="-2"/>
                <w:kern w:val="0"/>
                <w:sz w:val="20"/>
                <w:szCs w:val="20"/>
                <w:highlight w:val="none"/>
                <w:lang w:val="en-US" w:eastAsia="zh-CN" w:bidi="ar-SA"/>
              </w:rPr>
              <w:t>说明危险（源）性质的适当警告，以及如果制造商规定由维护人员更换元器件，安全更换元器件的所有必要的资料</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 6.2-6.5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8.5.2.2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B型应用部分</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val="en-US" w:eastAsia="zh-CN"/>
              </w:rPr>
              <w:t>风险管理文件</w:t>
            </w:r>
            <w:r>
              <w:rPr>
                <w:b/>
                <w:bCs/>
                <w:color w:val="000080"/>
                <w:spacing w:val="-2"/>
                <w:szCs w:val="20"/>
                <w:lang w:val="en-US" w:eastAsia="zh-CN"/>
              </w:rPr>
              <w:t>应</w:t>
            </w:r>
            <w:r>
              <w:rPr>
                <w:rFonts w:hint="eastAsia"/>
                <w:b/>
                <w:bCs/>
                <w:color w:val="000080"/>
                <w:spacing w:val="-2"/>
                <w:szCs w:val="20"/>
                <w:lang w:val="en-US" w:eastAsia="zh-CN"/>
              </w:rPr>
              <w:t>包含金属</w:t>
            </w:r>
            <w:r>
              <w:rPr>
                <w:b/>
                <w:bCs/>
                <w:color w:val="000080"/>
                <w:spacing w:val="-2"/>
                <w:szCs w:val="20"/>
                <w:lang w:val="en-US" w:eastAsia="zh-CN"/>
              </w:rPr>
              <w:t>可触及部分</w:t>
            </w:r>
            <w:r>
              <w:rPr>
                <w:rFonts w:hint="eastAsia"/>
                <w:b/>
                <w:bCs/>
                <w:color w:val="000080"/>
                <w:spacing w:val="-2"/>
                <w:szCs w:val="20"/>
                <w:lang w:val="en-US" w:eastAsia="zh-CN"/>
              </w:rPr>
              <w:t>与</w:t>
            </w:r>
            <w:r>
              <w:rPr>
                <w:b/>
                <w:bCs/>
                <w:color w:val="000080"/>
                <w:spacing w:val="-2"/>
                <w:szCs w:val="20"/>
                <w:lang w:val="en-US" w:eastAsia="zh-CN"/>
              </w:rPr>
              <w:t>电压源接触</w:t>
            </w:r>
            <w:r>
              <w:rPr>
                <w:rFonts w:hint="eastAsia"/>
                <w:b/>
                <w:bCs/>
                <w:color w:val="000080"/>
                <w:spacing w:val="-2"/>
                <w:szCs w:val="20"/>
                <w:lang w:val="en-US" w:eastAsia="zh-CN"/>
              </w:rPr>
              <w:t>或</w:t>
            </w:r>
            <w:r>
              <w:rPr>
                <w:b/>
                <w:bCs/>
                <w:color w:val="000080"/>
                <w:spacing w:val="-2"/>
                <w:szCs w:val="20"/>
                <w:lang w:val="en-US" w:eastAsia="zh-CN"/>
              </w:rPr>
              <w:t>漏电流</w:t>
            </w:r>
            <w:r>
              <w:rPr>
                <w:rFonts w:hint="eastAsia"/>
                <w:b/>
                <w:bCs/>
                <w:color w:val="000080"/>
                <w:spacing w:val="-2"/>
                <w:szCs w:val="20"/>
                <w:lang w:val="en-US" w:eastAsia="zh-CN"/>
              </w:rPr>
              <w:t>超过允许值</w:t>
            </w:r>
            <w:r>
              <w:rPr>
                <w:b/>
                <w:bCs/>
                <w:color w:val="000080"/>
                <w:spacing w:val="-2"/>
                <w:szCs w:val="20"/>
                <w:lang w:val="en-US" w:eastAsia="zh-CN"/>
              </w:rPr>
              <w:t>的</w:t>
            </w:r>
            <w:r>
              <w:rPr>
                <w:rFonts w:hint="eastAsia"/>
                <w:b/>
                <w:bCs/>
                <w:color w:val="000080"/>
                <w:spacing w:val="-2"/>
                <w:szCs w:val="20"/>
                <w:lang w:val="en-US" w:eastAsia="zh-CN"/>
              </w:rPr>
              <w:t>风险</w:t>
            </w:r>
            <w:r>
              <w:rPr>
                <w:b/>
                <w:bCs/>
                <w:color w:val="000080"/>
                <w:spacing w:val="-2"/>
                <w:szCs w:val="20"/>
                <w:lang w:val="en-US" w:eastAsia="zh-CN"/>
              </w:rPr>
              <w:t>评估</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8.5.2.3</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患者导联或患者电缆</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rPr>
              <w:t>风险管理过程</w:t>
            </w:r>
            <w:r>
              <w:rPr>
                <w:rFonts w:hint="eastAsia"/>
                <w:b/>
                <w:bCs/>
                <w:color w:val="000080"/>
                <w:spacing w:val="-2"/>
                <w:szCs w:val="20"/>
                <w:lang w:val="en-US" w:eastAsia="zh-CN"/>
              </w:rPr>
              <w:t>应包含</w:t>
            </w:r>
            <w:r>
              <w:rPr>
                <w:rFonts w:hint="eastAsia"/>
                <w:b/>
                <w:bCs/>
                <w:color w:val="000080"/>
                <w:spacing w:val="-2"/>
                <w:szCs w:val="20"/>
              </w:rPr>
              <w:t>接触除网电源插座或导电平面外的物体（例如角或边）</w:t>
            </w:r>
            <w:r>
              <w:rPr>
                <w:rFonts w:hint="eastAsia"/>
                <w:b/>
                <w:bCs/>
                <w:color w:val="000080"/>
                <w:spacing w:val="-2"/>
                <w:szCs w:val="20"/>
                <w:lang w:val="en-US" w:eastAsia="zh-CN"/>
              </w:rPr>
              <w:t>的</w:t>
            </w:r>
            <w:r>
              <w:rPr>
                <w:rFonts w:hint="eastAsia"/>
                <w:b/>
                <w:bCs/>
                <w:color w:val="000080"/>
                <w:spacing w:val="-2"/>
                <w:szCs w:val="20"/>
              </w:rPr>
              <w:t>风险</w:t>
            </w:r>
            <w:r>
              <w:rPr>
                <w:rFonts w:hint="eastAsia"/>
                <w:b/>
                <w:bCs/>
                <w:color w:val="000080"/>
                <w:spacing w:val="-2"/>
                <w:szCs w:val="20"/>
                <w:lang w:val="en-US" w:eastAsia="zh-CN"/>
              </w:rPr>
              <w:t>评估</w:t>
            </w:r>
            <w:r>
              <w:rPr>
                <w:rFonts w:hint="eastAsia"/>
                <w:b/>
                <w:bCs/>
                <w:color w:val="000080"/>
                <w:spacing w:val="-2"/>
                <w:szCs w:val="20"/>
              </w:rPr>
              <w:t>。</w:t>
            </w:r>
          </w:p>
          <w:p>
            <w:pPr>
              <w:pStyle w:val="2"/>
              <w:spacing w:before="31" w:after="62"/>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8.6.3</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运动部件的保护接地</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除非制造商在</w:t>
            </w:r>
            <w:r>
              <w:rPr>
                <w:b/>
                <w:bCs/>
                <w:color w:val="000080"/>
                <w:spacing w:val="-2"/>
                <w:szCs w:val="20"/>
                <w:lang w:eastAsia="zh-CN"/>
              </w:rPr>
              <w:t>风险管理过程中论证</w:t>
            </w:r>
            <w:r>
              <w:rPr>
                <w:rFonts w:hint="eastAsia"/>
                <w:b/>
                <w:bCs/>
                <w:color w:val="000080"/>
                <w:spacing w:val="-2"/>
                <w:szCs w:val="20"/>
                <w:lang w:eastAsia="zh-CN"/>
              </w:rPr>
              <w:t>该连接在ME设备预期使用寿命内能保持可靠连接，</w:t>
            </w:r>
            <w:r>
              <w:rPr>
                <w:rFonts w:hint="eastAsia"/>
                <w:b/>
                <w:bCs/>
                <w:color w:val="000080"/>
                <w:spacing w:val="-2"/>
                <w:szCs w:val="20"/>
                <w:lang w:val="en-US" w:eastAsia="zh-CN"/>
              </w:rPr>
              <w:t>否则</w:t>
            </w:r>
            <w:r>
              <w:rPr>
                <w:rFonts w:hint="default" w:ascii="Times New Roman" w:hAnsi="Times New Roman" w:eastAsia="宋体" w:cs="Times New Roman"/>
                <w:b/>
                <w:bCs/>
                <w:color w:val="000080"/>
                <w:spacing w:val="-2"/>
                <w:kern w:val="0"/>
                <w:sz w:val="20"/>
                <w:szCs w:val="20"/>
                <w:highlight w:val="none"/>
                <w:lang w:val="en-GB" w:eastAsia="zh-CN" w:bidi="ar-SA"/>
              </w:rPr>
              <w:t>任何保护接地连接不能用于运动部件</w:t>
            </w:r>
            <w:r>
              <w:rPr>
                <w:rFonts w:hint="eastAsia"/>
                <w:b/>
                <w:bCs/>
                <w:color w:val="000080"/>
                <w:spacing w:val="-2"/>
                <w:szCs w:val="20"/>
                <w:lang w:eastAsia="zh-CN"/>
              </w:rPr>
              <w:t>。</w:t>
            </w:r>
          </w:p>
          <w:p>
            <w:pPr>
              <w:pStyle w:val="2"/>
              <w:spacing w:before="31" w:after="62"/>
              <w:rPr>
                <w:b/>
                <w:bCs/>
                <w:color w:val="000080"/>
                <w:spacing w:val="-2"/>
                <w:szCs w:val="20"/>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,6.2-6.5)</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8.8.4.1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机械强度和耐热</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结合</w:t>
            </w:r>
            <w:r>
              <w:rPr>
                <w:b/>
                <w:bCs/>
                <w:color w:val="000080"/>
                <w:spacing w:val="-2"/>
                <w:szCs w:val="20"/>
                <w:lang w:eastAsia="zh-CN"/>
              </w:rPr>
              <w:t>耐潮湿、</w:t>
            </w:r>
            <w:r>
              <w:rPr>
                <w:rFonts w:hint="eastAsia"/>
                <w:b/>
                <w:bCs/>
                <w:color w:val="000080"/>
                <w:spacing w:val="-2"/>
                <w:szCs w:val="20"/>
                <w:lang w:eastAsia="zh-CN"/>
              </w:rPr>
              <w:t>电介质强度</w:t>
            </w:r>
            <w:r>
              <w:rPr>
                <w:b/>
                <w:bCs/>
                <w:color w:val="000080"/>
                <w:spacing w:val="-2"/>
                <w:szCs w:val="20"/>
                <w:lang w:eastAsia="zh-CN"/>
              </w:rPr>
              <w:t>、</w:t>
            </w:r>
            <w:r>
              <w:rPr>
                <w:rFonts w:hint="eastAsia"/>
                <w:b/>
                <w:bCs/>
                <w:color w:val="000080"/>
                <w:spacing w:val="-2"/>
                <w:szCs w:val="20"/>
                <w:lang w:eastAsia="zh-CN"/>
              </w:rPr>
              <w:t>机械强度</w:t>
            </w:r>
            <w:r>
              <w:rPr>
                <w:b/>
                <w:bCs/>
                <w:color w:val="000080"/>
                <w:spacing w:val="-2"/>
                <w:szCs w:val="20"/>
                <w:lang w:eastAsia="zh-CN"/>
              </w:rPr>
              <w:t>试验</w:t>
            </w:r>
            <w:r>
              <w:rPr>
                <w:rFonts w:hint="eastAsia"/>
                <w:b/>
                <w:bCs/>
                <w:color w:val="000080"/>
                <w:spacing w:val="-2"/>
                <w:szCs w:val="20"/>
                <w:lang w:eastAsia="zh-CN"/>
              </w:rPr>
              <w:t>检查</w:t>
            </w:r>
            <w:r>
              <w:rPr>
                <w:b/>
                <w:bCs/>
                <w:color w:val="000080"/>
                <w:spacing w:val="-2"/>
                <w:szCs w:val="20"/>
                <w:lang w:eastAsia="zh-CN"/>
              </w:rPr>
              <w:t>风险管理文档</w:t>
            </w:r>
            <w:r>
              <w:rPr>
                <w:rFonts w:hint="eastAsia"/>
                <w:b/>
                <w:bCs/>
                <w:color w:val="000080"/>
                <w:spacing w:val="-2"/>
                <w:szCs w:val="20"/>
                <w:lang w:val="en-US" w:eastAsia="zh-CN"/>
              </w:rPr>
              <w:t>中</w:t>
            </w:r>
            <w:r>
              <w:rPr>
                <w:rFonts w:hint="default" w:ascii="Times New Roman" w:hAnsi="Times New Roman" w:eastAsia="宋体" w:cs="Times New Roman"/>
                <w:b/>
                <w:bCs/>
                <w:color w:val="000080"/>
                <w:spacing w:val="-2"/>
                <w:kern w:val="0"/>
                <w:sz w:val="20"/>
                <w:szCs w:val="20"/>
                <w:highlight w:val="none"/>
                <w:lang w:val="en-GB" w:eastAsia="zh-CN" w:bidi="ar-SA"/>
              </w:rPr>
              <w:t>所有类型的绝缘包括绝缘隔档，在ME设备的预期使用寿命期间</w:t>
            </w:r>
            <w:r>
              <w:rPr>
                <w:rFonts w:hint="eastAsia" w:ascii="Times New Roman" w:hAnsi="Times New Roman" w:cs="Times New Roman"/>
                <w:b/>
                <w:bCs/>
                <w:color w:val="000080"/>
                <w:spacing w:val="-2"/>
                <w:kern w:val="0"/>
                <w:sz w:val="20"/>
                <w:szCs w:val="20"/>
                <w:highlight w:val="none"/>
                <w:lang w:val="en-US" w:eastAsia="zh-CN" w:bidi="ar-SA"/>
              </w:rPr>
              <w:t>的</w:t>
            </w:r>
            <w:r>
              <w:rPr>
                <w:rFonts w:hint="default" w:ascii="Times New Roman" w:hAnsi="Times New Roman" w:eastAsia="宋体" w:cs="Times New Roman"/>
                <w:b/>
                <w:bCs/>
                <w:color w:val="000080"/>
                <w:spacing w:val="-2"/>
                <w:kern w:val="0"/>
                <w:sz w:val="20"/>
                <w:szCs w:val="20"/>
                <w:highlight w:val="none"/>
                <w:lang w:val="en-GB" w:eastAsia="zh-CN" w:bidi="ar-SA"/>
              </w:rPr>
              <w:t>耐热性</w:t>
            </w:r>
            <w:r>
              <w:rPr>
                <w:rFonts w:hint="eastAsia"/>
                <w:b/>
                <w:bCs/>
                <w:color w:val="000080"/>
                <w:spacing w:val="-2"/>
                <w:szCs w:val="20"/>
                <w:lang w:eastAsia="zh-CN"/>
              </w:rPr>
              <w:t>。</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,6.2-6.5)</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8.10.1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元器件的固定</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风险管理文件中应包含元器件</w:t>
            </w:r>
            <w:r>
              <w:rPr>
                <w:b/>
                <w:bCs/>
                <w:color w:val="000080"/>
                <w:spacing w:val="-2"/>
                <w:szCs w:val="20"/>
                <w:lang w:eastAsia="zh-CN"/>
              </w:rPr>
              <w:t>非预期的位移导致的风险</w:t>
            </w:r>
            <w:r>
              <w:rPr>
                <w:rFonts w:hint="eastAsia"/>
                <w:b/>
                <w:bCs/>
                <w:color w:val="000080"/>
                <w:spacing w:val="-2"/>
                <w:szCs w:val="20"/>
                <w:lang w:eastAsia="zh-CN"/>
              </w:rPr>
              <w:t>。</w:t>
            </w:r>
          </w:p>
          <w:p>
            <w:pPr>
              <w:pStyle w:val="2"/>
              <w:spacing w:before="31" w:after="62"/>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,6.2-6.5)</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trHeight w:val="1764" w:hRule="atLeast"/>
          <w:jc w:val="center"/>
        </w:trPr>
        <w:tc>
          <w:tcPr>
            <w:tcW w:w="725" w:type="dxa"/>
            <w:tcBorders>
              <w:top w:val="single" w:color="auto" w:sz="4" w:space="0"/>
              <w:left w:val="single" w:color="auto" w:sz="4" w:space="0"/>
              <w:right w:val="single" w:color="auto" w:sz="4" w:space="0"/>
            </w:tcBorders>
          </w:tcPr>
          <w:p>
            <w:pPr>
              <w:rPr>
                <w:b/>
                <w:bCs/>
                <w:color w:val="000080"/>
                <w:spacing w:val="-2"/>
                <w:lang w:eastAsia="zh-CN"/>
              </w:rPr>
            </w:pPr>
            <w:r>
              <w:rPr>
                <w:rFonts w:hint="eastAsia"/>
                <w:b/>
                <w:bCs/>
                <w:color w:val="000080"/>
                <w:spacing w:val="-2"/>
              </w:rPr>
              <w:t>9.2.1</w:t>
            </w:r>
          </w:p>
        </w:tc>
        <w:tc>
          <w:tcPr>
            <w:tcW w:w="1178" w:type="dxa"/>
            <w:tcBorders>
              <w:top w:val="single" w:color="auto" w:sz="4" w:space="0"/>
              <w:left w:val="single" w:color="auto" w:sz="4" w:space="0"/>
              <w:right w:val="single" w:color="auto" w:sz="4" w:space="0"/>
            </w:tcBorders>
          </w:tcPr>
          <w:p>
            <w:pPr>
              <w:rPr>
                <w:b/>
                <w:bCs/>
                <w:color w:val="000080"/>
                <w:spacing w:val="-2"/>
              </w:rPr>
            </w:pPr>
            <w:r>
              <w:rPr>
                <w:rFonts w:hint="eastAsia"/>
                <w:b/>
                <w:bCs/>
                <w:color w:val="000080"/>
                <w:spacing w:val="-2"/>
              </w:rPr>
              <w:t>与运动部件相关的机械危险-概述</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val="en-US" w:eastAsia="zh-CN"/>
              </w:rPr>
              <w:t>风险管理文件</w:t>
            </w:r>
            <w:r>
              <w:rPr>
                <w:b/>
                <w:bCs/>
                <w:color w:val="000080"/>
                <w:spacing w:val="-2"/>
                <w:szCs w:val="20"/>
                <w:lang w:val="en-US" w:eastAsia="zh-CN"/>
              </w:rPr>
              <w:t>中</w:t>
            </w:r>
            <w:r>
              <w:rPr>
                <w:rFonts w:hint="eastAsia"/>
                <w:b/>
                <w:bCs/>
                <w:color w:val="000080"/>
                <w:spacing w:val="-2"/>
                <w:szCs w:val="20"/>
                <w:lang w:val="en-US" w:eastAsia="zh-CN"/>
              </w:rPr>
              <w:t>应</w:t>
            </w:r>
            <w:r>
              <w:rPr>
                <w:b/>
                <w:bCs/>
                <w:color w:val="000080"/>
                <w:spacing w:val="-2"/>
                <w:szCs w:val="20"/>
                <w:lang w:val="en-US" w:eastAsia="zh-CN"/>
              </w:rPr>
              <w:t>包含</w:t>
            </w:r>
            <w:r>
              <w:rPr>
                <w:rFonts w:hint="eastAsia"/>
                <w:b/>
                <w:bCs/>
                <w:color w:val="000080"/>
                <w:spacing w:val="-2"/>
                <w:szCs w:val="20"/>
                <w:lang w:val="en-US" w:eastAsia="zh-CN"/>
              </w:rPr>
              <w:t>运动部件相关</w:t>
            </w:r>
            <w:r>
              <w:rPr>
                <w:b/>
                <w:bCs/>
                <w:color w:val="000080"/>
                <w:spacing w:val="-2"/>
                <w:szCs w:val="20"/>
                <w:lang w:val="en-US" w:eastAsia="zh-CN"/>
              </w:rPr>
              <w:t>的风险。</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,6.2-6.5)</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9.2.4</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急停装置</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风险管理文件应有当</w:t>
            </w:r>
            <w:r>
              <w:rPr>
                <w:b/>
                <w:bCs/>
                <w:color w:val="000080"/>
                <w:spacing w:val="-2"/>
                <w:szCs w:val="20"/>
                <w:lang w:eastAsia="zh-CN"/>
              </w:rPr>
              <w:t>使用急停装置后</w:t>
            </w:r>
            <w:r>
              <w:rPr>
                <w:rFonts w:hint="eastAsia"/>
                <w:b/>
                <w:bCs/>
                <w:color w:val="000080"/>
                <w:spacing w:val="-2"/>
                <w:szCs w:val="20"/>
                <w:lang w:eastAsia="zh-CN"/>
              </w:rPr>
              <w:t>设备可以将</w:t>
            </w:r>
            <w:r>
              <w:rPr>
                <w:b/>
                <w:bCs/>
                <w:color w:val="000080"/>
                <w:spacing w:val="-2"/>
                <w:szCs w:val="20"/>
                <w:lang w:eastAsia="zh-CN"/>
              </w:rPr>
              <w:t>风险降低至可以接受</w:t>
            </w:r>
            <w:r>
              <w:rPr>
                <w:rFonts w:hint="eastAsia"/>
                <w:b/>
                <w:bCs/>
                <w:color w:val="000080"/>
                <w:spacing w:val="-2"/>
                <w:szCs w:val="20"/>
                <w:lang w:eastAsia="zh-CN"/>
              </w:rPr>
              <w:t>程度</w:t>
            </w:r>
            <w:r>
              <w:rPr>
                <w:rFonts w:hint="eastAsia"/>
                <w:b/>
                <w:bCs/>
                <w:color w:val="000080"/>
                <w:spacing w:val="-2"/>
                <w:szCs w:val="20"/>
                <w:lang w:val="en-US" w:eastAsia="zh-CN"/>
              </w:rPr>
              <w:t>的分析</w:t>
            </w:r>
            <w:r>
              <w:rPr>
                <w:b/>
                <w:bCs/>
                <w:color w:val="000080"/>
                <w:spacing w:val="-2"/>
                <w:szCs w:val="20"/>
                <w:lang w:eastAsia="zh-CN"/>
              </w:rPr>
              <w:t>。</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6</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9.2.5</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患者的释放</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ascii="Times New Roman" w:hAnsi="Times New Roman" w:cs="Times New Roman"/>
                <w:b/>
                <w:bCs/>
                <w:color w:val="000080"/>
                <w:spacing w:val="-2"/>
                <w:szCs w:val="20"/>
                <w:lang w:eastAsia="zh-CN"/>
              </w:rPr>
              <w:t>风险管理文件包含医用</w:t>
            </w:r>
            <w:r>
              <w:rPr>
                <w:rFonts w:ascii="Times New Roman" w:hAnsi="Times New Roman" w:cs="Times New Roman"/>
                <w:b/>
                <w:bCs/>
                <w:color w:val="000080"/>
                <w:spacing w:val="-2"/>
                <w:szCs w:val="20"/>
                <w:lang w:eastAsia="zh-CN"/>
              </w:rPr>
              <w:t>电气设备</w:t>
            </w:r>
            <w:r>
              <w:rPr>
                <w:rFonts w:hint="eastAsia" w:ascii="Times New Roman" w:hAnsi="Times New Roman" w:cs="Times New Roman"/>
                <w:b/>
                <w:bCs/>
                <w:color w:val="000080"/>
                <w:spacing w:val="-2"/>
                <w:szCs w:val="20"/>
                <w:lang w:eastAsia="zh-CN"/>
              </w:rPr>
              <w:t>的</w:t>
            </w:r>
            <w:r>
              <w:rPr>
                <w:rFonts w:hint="default" w:ascii="Times New Roman" w:hAnsi="Times New Roman" w:eastAsia="宋体" w:cs="Times New Roman"/>
                <w:b/>
                <w:bCs/>
                <w:color w:val="000080"/>
                <w:spacing w:val="-2"/>
                <w:kern w:val="0"/>
                <w:sz w:val="20"/>
                <w:szCs w:val="20"/>
                <w:highlight w:val="none"/>
                <w:lang w:val="en-GB" w:eastAsia="zh-CN" w:bidi="ar-SA"/>
              </w:rPr>
              <w:t>不受控或非预期的运动</w:t>
            </w:r>
            <w:r>
              <w:rPr>
                <w:rFonts w:hint="eastAsia" w:ascii="Times New Roman" w:hAnsi="Times New Roman" w:cs="Times New Roman"/>
                <w:b/>
                <w:bCs/>
                <w:color w:val="000080"/>
                <w:spacing w:val="-2"/>
                <w:szCs w:val="20"/>
                <w:lang w:eastAsia="zh-CN"/>
              </w:rPr>
              <w:t>相关</w:t>
            </w:r>
            <w:r>
              <w:rPr>
                <w:rFonts w:ascii="Times New Roman" w:hAnsi="Times New Roman" w:cs="Times New Roman"/>
                <w:b/>
                <w:bCs/>
                <w:color w:val="000080"/>
                <w:spacing w:val="-2"/>
                <w:szCs w:val="20"/>
                <w:lang w:eastAsia="zh-CN"/>
              </w:rPr>
              <w:t>的风险评估。</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9.5.1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防护措施</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风险管理文件应有</w:t>
            </w:r>
            <w:r>
              <w:rPr>
                <w:b/>
                <w:bCs/>
                <w:color w:val="000080"/>
                <w:spacing w:val="-2"/>
                <w:szCs w:val="20"/>
                <w:lang w:eastAsia="zh-CN"/>
              </w:rPr>
              <w:t>飞溅物</w:t>
            </w:r>
            <w:r>
              <w:rPr>
                <w:rFonts w:hint="eastAsia"/>
                <w:b/>
                <w:bCs/>
                <w:color w:val="000080"/>
                <w:spacing w:val="-2"/>
                <w:szCs w:val="20"/>
                <w:lang w:eastAsia="zh-CN"/>
              </w:rPr>
              <w:t>相关</w:t>
            </w:r>
            <w:r>
              <w:rPr>
                <w:b/>
                <w:bCs/>
                <w:color w:val="000080"/>
                <w:spacing w:val="-2"/>
                <w:szCs w:val="20"/>
                <w:lang w:eastAsia="zh-CN"/>
              </w:rPr>
              <w:t>的风险</w:t>
            </w:r>
            <w:r>
              <w:rPr>
                <w:rFonts w:hint="eastAsia"/>
                <w:b/>
                <w:bCs/>
                <w:color w:val="000080"/>
                <w:spacing w:val="-2"/>
                <w:szCs w:val="20"/>
                <w:lang w:eastAsia="zh-CN"/>
              </w:rPr>
              <w:t>评估和</w:t>
            </w:r>
            <w:r>
              <w:rPr>
                <w:b/>
                <w:bCs/>
                <w:color w:val="000080"/>
                <w:spacing w:val="-2"/>
                <w:szCs w:val="20"/>
                <w:lang w:eastAsia="zh-CN"/>
              </w:rPr>
              <w:t>检查，</w:t>
            </w:r>
            <w:r>
              <w:rPr>
                <w:rFonts w:hint="eastAsia"/>
                <w:b/>
                <w:bCs/>
                <w:color w:val="000080"/>
                <w:spacing w:val="-2"/>
                <w:szCs w:val="20"/>
                <w:lang w:val="en-US" w:eastAsia="zh-CN"/>
              </w:rPr>
              <w:t>若会导致不可接受的风险，则ME设备应采取防护措施</w:t>
            </w:r>
            <w:r>
              <w:rPr>
                <w:b/>
                <w:bCs/>
                <w:color w:val="000080"/>
                <w:spacing w:val="-2"/>
                <w:szCs w:val="20"/>
                <w:lang w:eastAsia="zh-CN"/>
              </w:rPr>
              <w:t>；</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w:t>
            </w:r>
            <w:r>
              <w:rPr>
                <w:rFonts w:hint="eastAsia"/>
                <w:b/>
                <w:bCs/>
                <w:color w:val="000080"/>
                <w:spacing w:val="-2"/>
                <w:sz w:val="18"/>
                <w:szCs w:val="16"/>
                <w:lang w:val="en-US" w:eastAsia="zh-CN"/>
              </w:rPr>
              <w:t>,</w:t>
            </w:r>
            <w:r>
              <w:rPr>
                <w:b/>
                <w:bCs/>
                <w:color w:val="000080"/>
                <w:spacing w:val="-2"/>
                <w:sz w:val="18"/>
                <w:szCs w:val="16"/>
                <w:lang w:val="en-US" w:eastAsia="zh-CN"/>
              </w:rPr>
              <w:t>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9.6.1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声能 – 概述</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风险管理文档</w:t>
            </w:r>
            <w:r>
              <w:rPr>
                <w:rFonts w:hint="eastAsia"/>
                <w:b/>
                <w:bCs/>
                <w:color w:val="000080"/>
                <w:spacing w:val="-2"/>
                <w:szCs w:val="20"/>
                <w:lang w:val="en-US" w:eastAsia="zh-CN"/>
              </w:rPr>
              <w:t>应包含声能和振动对人体的风险评估</w:t>
            </w:r>
            <w:r>
              <w:rPr>
                <w:rFonts w:hint="eastAsia"/>
                <w:b/>
                <w:bCs/>
                <w:color w:val="000080"/>
                <w:spacing w:val="-2"/>
                <w:szCs w:val="20"/>
                <w:lang w:eastAsia="zh-CN"/>
              </w:rPr>
              <w:t>。</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9.6.2.2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次声和超声能</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如</w:t>
            </w:r>
            <w:r>
              <w:rPr>
                <w:b/>
                <w:bCs/>
                <w:color w:val="000080"/>
                <w:spacing w:val="-2"/>
                <w:szCs w:val="20"/>
                <w:lang w:eastAsia="zh-CN"/>
              </w:rPr>
              <w:t>适用，</w:t>
            </w:r>
            <w:r>
              <w:rPr>
                <w:rFonts w:hint="eastAsia"/>
                <w:b/>
                <w:bCs/>
                <w:color w:val="000080"/>
                <w:spacing w:val="-2"/>
                <w:szCs w:val="20"/>
                <w:lang w:eastAsia="zh-CN"/>
              </w:rPr>
              <w:t>制造商应在风险管理过程中考虑与次声和超声相关的风险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trHeight w:val="549" w:hRule="atLeast"/>
          <w:jc w:val="center"/>
        </w:trPr>
        <w:tc>
          <w:tcPr>
            <w:tcW w:w="725" w:type="dxa"/>
            <w:vMerge w:val="restart"/>
            <w:tcBorders>
              <w:top w:val="single" w:color="auto" w:sz="4" w:space="0"/>
              <w:left w:val="single" w:color="auto" w:sz="4" w:space="0"/>
            </w:tcBorders>
          </w:tcPr>
          <w:p>
            <w:pPr>
              <w:rPr>
                <w:b/>
                <w:bCs/>
                <w:color w:val="000080"/>
                <w:spacing w:val="-2"/>
              </w:rPr>
            </w:pPr>
            <w:r>
              <w:rPr>
                <w:rFonts w:hint="eastAsia"/>
                <w:b/>
                <w:bCs/>
                <w:color w:val="000080"/>
                <w:spacing w:val="-2"/>
              </w:rPr>
              <w:t>9.7.2</w:t>
            </w:r>
          </w:p>
        </w:tc>
        <w:tc>
          <w:tcPr>
            <w:tcW w:w="1178" w:type="dxa"/>
            <w:vMerge w:val="restart"/>
            <w:tcBorders>
              <w:top w:val="single" w:color="auto" w:sz="4" w:space="0"/>
              <w:left w:val="single" w:color="auto" w:sz="6" w:space="0"/>
            </w:tcBorders>
          </w:tcPr>
          <w:p>
            <w:pPr>
              <w:rPr>
                <w:b/>
                <w:bCs/>
                <w:color w:val="000080"/>
                <w:spacing w:val="-2"/>
              </w:rPr>
            </w:pPr>
            <w:r>
              <w:rPr>
                <w:rFonts w:hint="eastAsia"/>
                <w:b/>
                <w:bCs/>
                <w:color w:val="000080"/>
                <w:spacing w:val="-2"/>
              </w:rPr>
              <w:t>气压和液压部件</w:t>
            </w:r>
          </w:p>
        </w:tc>
        <w:tc>
          <w:tcPr>
            <w:tcW w:w="2835" w:type="dxa"/>
            <w:tcBorders>
              <w:top w:val="single" w:color="auto" w:sz="4" w:space="0"/>
              <w:left w:val="single" w:color="auto" w:sz="6" w:space="0"/>
              <w:right w:val="single" w:color="auto" w:sz="4" w:space="0"/>
            </w:tcBorders>
          </w:tcPr>
          <w:p>
            <w:pPr>
              <w:spacing w:before="31" w:after="62"/>
              <w:rPr>
                <w:rFonts w:hint="eastAsia"/>
                <w:b/>
                <w:bCs/>
                <w:color w:val="000080"/>
                <w:spacing w:val="-2"/>
                <w:szCs w:val="20"/>
                <w:lang w:eastAsia="zh-CN"/>
              </w:rPr>
            </w:pPr>
            <w:r>
              <w:rPr>
                <w:rFonts w:hint="eastAsia"/>
                <w:b/>
                <w:bCs/>
                <w:color w:val="000080"/>
                <w:spacing w:val="-2"/>
                <w:szCs w:val="20"/>
                <w:lang w:eastAsia="zh-CN"/>
              </w:rPr>
              <w:t>医用电气设备或附件的气动和水压部件</w:t>
            </w:r>
            <w:r>
              <w:rPr>
                <w:rFonts w:hint="eastAsia"/>
                <w:b/>
                <w:bCs/>
                <w:color w:val="000080"/>
                <w:spacing w:val="-2"/>
                <w:szCs w:val="20"/>
                <w:lang w:val="en-US" w:eastAsia="zh-CN"/>
              </w:rPr>
              <w:t>应考虑：</w:t>
            </w:r>
          </w:p>
          <w:p>
            <w:pPr>
              <w:spacing w:before="31" w:after="62"/>
              <w:rPr>
                <w:b/>
                <w:bCs/>
                <w:color w:val="000080"/>
                <w:spacing w:val="-2"/>
                <w:szCs w:val="20"/>
                <w:lang w:eastAsia="zh-CN"/>
              </w:rPr>
            </w:pPr>
            <w:r>
              <w:rPr>
                <w:rFonts w:hint="default" w:ascii="Times New Roman" w:hAnsi="Times New Roman" w:cs="Times New Roman"/>
                <w:b/>
                <w:bCs/>
                <w:color w:val="000080"/>
                <w:spacing w:val="-2"/>
                <w:kern w:val="0"/>
                <w:sz w:val="20"/>
                <w:szCs w:val="20"/>
                <w:highlight w:val="none"/>
                <w:lang w:val="en-GB" w:eastAsia="zh-CN" w:bidi="ar-SA"/>
              </w:rPr>
              <w:t>——</w:t>
            </w:r>
            <w:r>
              <w:rPr>
                <w:rFonts w:hint="default" w:ascii="Times New Roman" w:hAnsi="Times New Roman" w:eastAsia="宋体" w:cs="Times New Roman"/>
                <w:b/>
                <w:bCs/>
                <w:color w:val="000080"/>
                <w:spacing w:val="-2"/>
                <w:kern w:val="0"/>
                <w:sz w:val="20"/>
                <w:szCs w:val="20"/>
                <w:highlight w:val="none"/>
                <w:lang w:val="en-GB" w:eastAsia="zh-CN" w:bidi="ar-SA"/>
              </w:rPr>
              <w:t>压力或真空的丧失不会导致不可接受风险</w:t>
            </w:r>
            <w:r>
              <w:rPr>
                <w:rFonts w:hint="default" w:ascii="Times New Roman" w:hAnsi="Times New Roman" w:cs="Times New Roman"/>
                <w:b/>
                <w:bCs/>
                <w:color w:val="000080"/>
                <w:spacing w:val="-2"/>
                <w:kern w:val="0"/>
                <w:sz w:val="20"/>
                <w:szCs w:val="20"/>
                <w:highlight w:val="none"/>
                <w:lang w:val="en-GB" w:eastAsia="zh-CN" w:bidi="ar-SA"/>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vMerge w:val="restart"/>
            <w:tcBorders>
              <w:top w:val="single" w:color="auto" w:sz="4" w:space="0"/>
              <w:left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trHeight w:val="549" w:hRule="atLeast"/>
          <w:jc w:val="center"/>
        </w:trPr>
        <w:tc>
          <w:tcPr>
            <w:tcW w:w="725" w:type="dxa"/>
            <w:vMerge w:val="continue"/>
            <w:tcBorders>
              <w:left w:val="single" w:color="auto" w:sz="4" w:space="0"/>
            </w:tcBorders>
          </w:tcPr>
          <w:p>
            <w:pPr>
              <w:pStyle w:val="2"/>
              <w:spacing w:before="31" w:after="62"/>
            </w:pPr>
          </w:p>
        </w:tc>
        <w:tc>
          <w:tcPr>
            <w:tcW w:w="1178" w:type="dxa"/>
            <w:vMerge w:val="continue"/>
            <w:tcBorders>
              <w:left w:val="single" w:color="auto" w:sz="6" w:space="0"/>
            </w:tcBorders>
          </w:tcPr>
          <w:p>
            <w:pPr>
              <w:pStyle w:val="2"/>
              <w:spacing w:before="31" w:after="62"/>
            </w:pPr>
          </w:p>
        </w:tc>
        <w:tc>
          <w:tcPr>
            <w:tcW w:w="2835" w:type="dxa"/>
            <w:tcBorders>
              <w:top w:val="single" w:color="auto" w:sz="4" w:space="0"/>
              <w:left w:val="single" w:color="auto" w:sz="6" w:space="0"/>
              <w:right w:val="single" w:color="auto" w:sz="4" w:space="0"/>
            </w:tcBorders>
            <w:vAlign w:val="top"/>
          </w:tcPr>
          <w:p>
            <w:pPr>
              <w:pStyle w:val="2"/>
              <w:spacing w:before="62" w:after="62"/>
              <w:rPr>
                <w:rFonts w:hint="default" w:ascii="Times New Roman" w:hAnsi="Times New Roman" w:eastAsia="宋体"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GB" w:eastAsia="zh-CN" w:bidi="ar-SA"/>
              </w:rPr>
              <w:t>——</w:t>
            </w:r>
            <w:r>
              <w:rPr>
                <w:rFonts w:hint="default" w:ascii="Times New Roman" w:hAnsi="Times New Roman" w:eastAsia="宋体" w:cs="Times New Roman"/>
                <w:b/>
                <w:bCs/>
                <w:color w:val="000080"/>
                <w:spacing w:val="-2"/>
                <w:kern w:val="0"/>
                <w:sz w:val="20"/>
                <w:szCs w:val="20"/>
                <w:highlight w:val="none"/>
                <w:lang w:val="en-GB" w:eastAsia="zh-CN" w:bidi="ar-SA"/>
              </w:rPr>
              <w:t>泄漏或某一个元器件故障产生的液体喷射不会导致不可接受的风险</w:t>
            </w:r>
            <w:r>
              <w:rPr>
                <w:rFonts w:hint="default" w:ascii="Times New Roman" w:hAnsi="Times New Roman" w:cs="Times New Roman"/>
                <w:b/>
                <w:bCs/>
                <w:color w:val="000080"/>
                <w:spacing w:val="-2"/>
                <w:kern w:val="0"/>
                <w:sz w:val="20"/>
                <w:szCs w:val="20"/>
                <w:highlight w:val="none"/>
                <w:lang w:val="en-GB" w:eastAsia="zh-CN" w:bidi="ar-SA"/>
              </w:rPr>
              <w:t>；</w:t>
            </w:r>
          </w:p>
        </w:tc>
        <w:tc>
          <w:tcPr>
            <w:tcW w:w="3110"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trHeight w:val="549" w:hRule="atLeast"/>
          <w:jc w:val="center"/>
        </w:trPr>
        <w:tc>
          <w:tcPr>
            <w:tcW w:w="725" w:type="dxa"/>
            <w:vMerge w:val="continue"/>
            <w:tcBorders>
              <w:left w:val="single" w:color="auto" w:sz="4" w:space="0"/>
            </w:tcBorders>
          </w:tcPr>
          <w:p>
            <w:pPr>
              <w:pStyle w:val="2"/>
              <w:spacing w:before="31" w:after="62"/>
              <w:rPr>
                <w:b/>
                <w:bCs/>
                <w:color w:val="000080"/>
                <w:spacing w:val="-2"/>
                <w:sz w:val="18"/>
                <w:szCs w:val="16"/>
                <w:lang w:val="en-US" w:eastAsia="zh-CN"/>
              </w:rPr>
            </w:pPr>
          </w:p>
        </w:tc>
        <w:tc>
          <w:tcPr>
            <w:tcW w:w="1178" w:type="dxa"/>
            <w:vMerge w:val="continue"/>
            <w:tcBorders>
              <w:left w:val="single" w:color="auto" w:sz="6" w:space="0"/>
            </w:tcBorders>
          </w:tcPr>
          <w:p>
            <w:pPr>
              <w:pStyle w:val="2"/>
              <w:spacing w:before="31" w:after="62"/>
              <w:rPr>
                <w:b/>
                <w:bCs/>
                <w:color w:val="000080"/>
                <w:spacing w:val="-2"/>
                <w:sz w:val="18"/>
                <w:szCs w:val="16"/>
                <w:lang w:val="en-US" w:eastAsia="zh-CN"/>
              </w:rPr>
            </w:pPr>
          </w:p>
        </w:tc>
        <w:tc>
          <w:tcPr>
            <w:tcW w:w="2835" w:type="dxa"/>
            <w:tcBorders>
              <w:top w:val="single" w:color="auto" w:sz="4" w:space="0"/>
              <w:left w:val="single" w:color="auto" w:sz="6" w:space="0"/>
              <w:right w:val="single" w:color="auto" w:sz="4" w:space="0"/>
            </w:tcBorders>
            <w:vAlign w:val="top"/>
          </w:tcPr>
          <w:p>
            <w:pPr>
              <w:pStyle w:val="2"/>
              <w:spacing w:before="62" w:after="62"/>
              <w:rPr>
                <w:rFonts w:hint="default" w:ascii="Times New Roman" w:hAnsi="Times New Roman" w:eastAsia="宋体"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GB" w:eastAsia="zh-CN" w:bidi="ar-SA"/>
              </w:rPr>
              <w:t>——</w:t>
            </w:r>
            <w:r>
              <w:rPr>
                <w:rFonts w:hint="default" w:ascii="Times New Roman" w:hAnsi="Times New Roman" w:eastAsia="宋体" w:cs="Times New Roman"/>
                <w:b/>
                <w:bCs/>
                <w:color w:val="000080"/>
                <w:spacing w:val="-2"/>
                <w:kern w:val="0"/>
                <w:sz w:val="20"/>
                <w:szCs w:val="20"/>
                <w:highlight w:val="none"/>
                <w:lang w:val="en-GB" w:eastAsia="zh-CN" w:bidi="ar-SA"/>
              </w:rPr>
              <w:t>可能导致不可接受风险的ME设备的组成部分或附件，尤其是导管和软管，应加以防护以防止</w:t>
            </w:r>
            <w:r>
              <w:rPr>
                <w:rFonts w:hint="default" w:ascii="Times New Roman" w:hAnsi="Times New Roman" w:eastAsia="宋体" w:cs="Times New Roman"/>
                <w:b/>
                <w:bCs/>
                <w:color w:val="000080"/>
                <w:spacing w:val="-2"/>
                <w:kern w:val="0"/>
                <w:sz w:val="20"/>
                <w:szCs w:val="20"/>
                <w:highlight w:val="none"/>
                <w:lang w:val="en-US" w:eastAsia="zh-CN" w:bidi="ar-SA"/>
              </w:rPr>
              <w:t>有害的外来影响</w:t>
            </w:r>
            <w:r>
              <w:rPr>
                <w:rFonts w:hint="default" w:ascii="Times New Roman" w:hAnsi="Times New Roman" w:cs="Times New Roman"/>
                <w:b/>
                <w:bCs/>
                <w:color w:val="000080"/>
                <w:spacing w:val="-2"/>
                <w:kern w:val="0"/>
                <w:sz w:val="20"/>
                <w:szCs w:val="20"/>
                <w:highlight w:val="none"/>
                <w:lang w:val="en-US" w:eastAsia="zh-CN" w:bidi="ar-SA"/>
              </w:rPr>
              <w:t>；</w:t>
            </w:r>
          </w:p>
        </w:tc>
        <w:tc>
          <w:tcPr>
            <w:tcW w:w="3110"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trHeight w:val="549" w:hRule="atLeast"/>
          <w:jc w:val="center"/>
        </w:trPr>
        <w:tc>
          <w:tcPr>
            <w:tcW w:w="725" w:type="dxa"/>
            <w:vMerge w:val="continue"/>
            <w:tcBorders>
              <w:left w:val="single" w:color="auto" w:sz="4" w:space="0"/>
            </w:tcBorders>
          </w:tcPr>
          <w:p>
            <w:pPr>
              <w:pStyle w:val="2"/>
              <w:spacing w:before="31" w:after="62"/>
              <w:rPr>
                <w:b/>
                <w:bCs/>
                <w:color w:val="000080"/>
                <w:spacing w:val="-2"/>
                <w:sz w:val="18"/>
                <w:szCs w:val="16"/>
                <w:lang w:val="en-US" w:eastAsia="zh-CN"/>
              </w:rPr>
            </w:pPr>
          </w:p>
        </w:tc>
        <w:tc>
          <w:tcPr>
            <w:tcW w:w="1178" w:type="dxa"/>
            <w:vMerge w:val="continue"/>
            <w:tcBorders>
              <w:left w:val="single" w:color="auto" w:sz="6" w:space="0"/>
            </w:tcBorders>
          </w:tcPr>
          <w:p>
            <w:pPr>
              <w:pStyle w:val="2"/>
              <w:spacing w:before="31" w:after="62"/>
              <w:rPr>
                <w:b/>
                <w:bCs/>
                <w:color w:val="000080"/>
                <w:spacing w:val="-2"/>
                <w:sz w:val="18"/>
                <w:szCs w:val="16"/>
                <w:lang w:val="en-US" w:eastAsia="zh-CN"/>
              </w:rPr>
            </w:pPr>
          </w:p>
        </w:tc>
        <w:tc>
          <w:tcPr>
            <w:tcW w:w="2835" w:type="dxa"/>
            <w:tcBorders>
              <w:top w:val="single" w:color="auto" w:sz="4" w:space="0"/>
              <w:left w:val="single" w:color="auto" w:sz="6" w:space="0"/>
              <w:right w:val="single" w:color="auto" w:sz="4" w:space="0"/>
            </w:tcBorders>
            <w:vAlign w:val="top"/>
          </w:tcPr>
          <w:p>
            <w:pPr>
              <w:pStyle w:val="2"/>
              <w:spacing w:before="62" w:after="62"/>
              <w:rPr>
                <w:rFonts w:hint="default" w:ascii="Times New Roman" w:hAnsi="Times New Roman" w:eastAsia="宋体" w:cs="Times New Roman"/>
                <w:b/>
                <w:bCs/>
                <w:color w:val="000080"/>
                <w:spacing w:val="-2"/>
                <w:kern w:val="0"/>
                <w:sz w:val="20"/>
                <w:szCs w:val="20"/>
                <w:highlight w:val="none"/>
                <w:lang w:val="en-GB" w:eastAsia="zh-CN" w:bidi="ar-SA"/>
              </w:rPr>
            </w:pPr>
            <w:r>
              <w:rPr>
                <w:rFonts w:hint="default" w:ascii="Times New Roman" w:hAnsi="Times New Roman" w:cs="Times New Roman"/>
                <w:b/>
                <w:bCs/>
                <w:color w:val="000080"/>
                <w:spacing w:val="-2"/>
                <w:kern w:val="0"/>
                <w:sz w:val="20"/>
                <w:szCs w:val="20"/>
                <w:highlight w:val="none"/>
                <w:lang w:val="en-GB" w:eastAsia="zh-CN" w:bidi="ar-SA"/>
              </w:rPr>
              <w:t>——</w:t>
            </w:r>
            <w:r>
              <w:rPr>
                <w:rFonts w:hint="default" w:ascii="Times New Roman" w:hAnsi="Times New Roman" w:eastAsia="宋体" w:cs="Times New Roman"/>
                <w:b/>
                <w:bCs/>
                <w:color w:val="000080"/>
                <w:spacing w:val="-2"/>
                <w:kern w:val="0"/>
                <w:sz w:val="20"/>
                <w:szCs w:val="20"/>
                <w:highlight w:val="none"/>
                <w:lang w:val="en-GB" w:eastAsia="zh-CN" w:bidi="ar-SA"/>
              </w:rPr>
              <w:t>当ME设备与电源分断时，可能导致不可接受风险的储罐或类似容器（如气水储压器）要自动降低压力（例如，拔掉安装在设施壁上连接器的充气塞）。如果无法实现，应提供分断措施（例如，从外围回路断开），或局部降低储罐和类似容器的压力，并给出压力</w:t>
            </w:r>
            <w:r>
              <w:rPr>
                <w:rFonts w:hint="default" w:ascii="Times New Roman" w:hAnsi="Times New Roman" w:cs="Times New Roman"/>
                <w:b/>
                <w:bCs/>
                <w:color w:val="000080"/>
                <w:spacing w:val="-2"/>
                <w:kern w:val="0"/>
                <w:sz w:val="20"/>
                <w:szCs w:val="20"/>
                <w:highlight w:val="none"/>
                <w:lang w:val="en-US" w:eastAsia="zh-CN" w:bidi="ar-SA"/>
              </w:rPr>
              <w:t>指示；</w:t>
            </w:r>
          </w:p>
        </w:tc>
        <w:tc>
          <w:tcPr>
            <w:tcW w:w="3110"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trHeight w:val="549" w:hRule="atLeast"/>
          <w:jc w:val="center"/>
        </w:trPr>
        <w:tc>
          <w:tcPr>
            <w:tcW w:w="725" w:type="dxa"/>
            <w:vMerge w:val="continue"/>
            <w:tcBorders>
              <w:left w:val="single" w:color="auto" w:sz="4" w:space="0"/>
            </w:tcBorders>
          </w:tcPr>
          <w:p>
            <w:pPr>
              <w:pStyle w:val="2"/>
              <w:spacing w:before="31" w:after="62"/>
              <w:rPr>
                <w:b/>
                <w:bCs/>
                <w:color w:val="000080"/>
                <w:spacing w:val="-2"/>
                <w:sz w:val="18"/>
                <w:szCs w:val="16"/>
                <w:lang w:val="en-US" w:eastAsia="zh-CN"/>
              </w:rPr>
            </w:pPr>
          </w:p>
        </w:tc>
        <w:tc>
          <w:tcPr>
            <w:tcW w:w="1178" w:type="dxa"/>
            <w:vMerge w:val="continue"/>
            <w:tcBorders>
              <w:left w:val="single" w:color="auto" w:sz="6" w:space="0"/>
            </w:tcBorders>
          </w:tcPr>
          <w:p>
            <w:pPr>
              <w:pStyle w:val="2"/>
              <w:spacing w:before="31" w:after="62"/>
              <w:rPr>
                <w:b/>
                <w:bCs/>
                <w:color w:val="000080"/>
                <w:spacing w:val="-2"/>
                <w:sz w:val="18"/>
                <w:szCs w:val="16"/>
                <w:lang w:val="en-US" w:eastAsia="zh-CN"/>
              </w:rPr>
            </w:pPr>
          </w:p>
        </w:tc>
        <w:tc>
          <w:tcPr>
            <w:tcW w:w="2835" w:type="dxa"/>
            <w:tcBorders>
              <w:top w:val="single" w:color="auto" w:sz="4" w:space="0"/>
              <w:left w:val="single" w:color="auto" w:sz="6" w:space="0"/>
              <w:right w:val="single" w:color="auto" w:sz="4" w:space="0"/>
            </w:tcBorders>
            <w:vAlign w:val="top"/>
          </w:tcPr>
          <w:p>
            <w:pPr>
              <w:pStyle w:val="2"/>
              <w:spacing w:before="62" w:after="62"/>
              <w:rPr>
                <w:rFonts w:hint="default" w:ascii="Times New Roman" w:hAnsi="Times New Roman"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US" w:eastAsia="zh-CN" w:bidi="ar-SA"/>
              </w:rPr>
              <w:t>——所有元件在ME设备或附件与其供电分断后，仍保持压力并可能导致不可接受风险应提供清楚易认的排气装置和警告标识，提示注意在进行ME设备或附件的安装或维护活动前降低这些元件压力的必要性。</w:t>
            </w:r>
          </w:p>
          <w:p>
            <w:pPr>
              <w:pStyle w:val="2"/>
              <w:spacing w:before="62" w:after="62"/>
              <w:rPr>
                <w:rFonts w:hint="default" w:ascii="Times New Roman" w:hAnsi="Times New Roman"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US" w:eastAsia="zh-CN" w:bidi="ar-SA"/>
              </w:rPr>
              <w:t>(</w:t>
            </w:r>
            <w:r>
              <w:rPr>
                <w:rFonts w:hint="eastAsia" w:ascii="Times New Roman" w:hAnsi="Times New Roman" w:cs="Times New Roman"/>
                <w:b/>
                <w:bCs/>
                <w:color w:val="000080"/>
                <w:spacing w:val="-2"/>
                <w:kern w:val="0"/>
                <w:sz w:val="20"/>
                <w:szCs w:val="20"/>
                <w:highlight w:val="none"/>
                <w:lang w:val="en-US" w:eastAsia="zh-CN" w:bidi="ar-SA"/>
              </w:rPr>
              <w:t xml:space="preserve">YY/T 0316 </w:t>
            </w:r>
            <w:r>
              <w:rPr>
                <w:rFonts w:hint="default" w:ascii="Times New Roman" w:hAnsi="Times New Roman" w:cs="Times New Roman"/>
                <w:b/>
                <w:bCs/>
                <w:color w:val="000080"/>
                <w:spacing w:val="-2"/>
                <w:kern w:val="0"/>
                <w:sz w:val="20"/>
                <w:szCs w:val="20"/>
                <w:highlight w:val="none"/>
                <w:lang w:val="en-US" w:eastAsia="zh-CN" w:bidi="ar-SA"/>
              </w:rPr>
              <w:t>Cl.4.3</w:t>
            </w:r>
            <w:r>
              <w:rPr>
                <w:rFonts w:hint="eastAsia" w:ascii="Times New Roman" w:hAnsi="Times New Roman" w:cs="Times New Roman"/>
                <w:b/>
                <w:bCs/>
                <w:color w:val="000080"/>
                <w:spacing w:val="-2"/>
                <w:kern w:val="0"/>
                <w:sz w:val="20"/>
                <w:szCs w:val="20"/>
                <w:highlight w:val="none"/>
                <w:lang w:val="en-US" w:eastAsia="zh-CN" w:bidi="ar-SA"/>
              </w:rPr>
              <w:t>,</w:t>
            </w:r>
            <w:r>
              <w:rPr>
                <w:rFonts w:hint="default" w:ascii="Times New Roman" w:hAnsi="Times New Roman" w:cs="Times New Roman"/>
                <w:b/>
                <w:bCs/>
                <w:color w:val="000080"/>
                <w:spacing w:val="-2"/>
                <w:kern w:val="0"/>
                <w:sz w:val="20"/>
                <w:szCs w:val="20"/>
                <w:highlight w:val="none"/>
                <w:lang w:val="en-US" w:eastAsia="zh-CN" w:bidi="ar-SA"/>
              </w:rPr>
              <w:t>4.4,5</w:t>
            </w:r>
            <w:r>
              <w:rPr>
                <w:rFonts w:hint="eastAsia" w:ascii="Times New Roman" w:hAnsi="Times New Roman" w:cs="Times New Roman"/>
                <w:b/>
                <w:bCs/>
                <w:color w:val="000080"/>
                <w:spacing w:val="-2"/>
                <w:kern w:val="0"/>
                <w:sz w:val="20"/>
                <w:szCs w:val="20"/>
                <w:highlight w:val="none"/>
                <w:lang w:val="en-US" w:eastAsia="zh-CN" w:bidi="ar-SA"/>
              </w:rPr>
              <w:t>,6.2-6.</w:t>
            </w:r>
            <w:r>
              <w:rPr>
                <w:rFonts w:hint="default" w:ascii="Times New Roman" w:hAnsi="Times New Roman" w:cs="Times New Roman"/>
                <w:b/>
                <w:bCs/>
                <w:color w:val="000080"/>
                <w:spacing w:val="-2"/>
                <w:kern w:val="0"/>
                <w:sz w:val="20"/>
                <w:szCs w:val="20"/>
                <w:highlight w:val="none"/>
                <w:lang w:val="en-US" w:eastAsia="zh-CN" w:bidi="ar-SA"/>
              </w:rPr>
              <w:t>5</w:t>
            </w:r>
            <w:r>
              <w:rPr>
                <w:rFonts w:hint="eastAsia" w:ascii="Times New Roman" w:hAnsi="Times New Roman" w:cs="Times New Roman"/>
                <w:b/>
                <w:bCs/>
                <w:color w:val="000080"/>
                <w:spacing w:val="-2"/>
                <w:kern w:val="0"/>
                <w:sz w:val="20"/>
                <w:szCs w:val="20"/>
                <w:highlight w:val="none"/>
                <w:lang w:val="en-US" w:eastAsia="zh-CN" w:bidi="ar-SA"/>
              </w:rPr>
              <w:t>)</w:t>
            </w:r>
          </w:p>
        </w:tc>
        <w:tc>
          <w:tcPr>
            <w:tcW w:w="3110" w:type="dxa"/>
            <w:tcBorders>
              <w:top w:val="single" w:color="auto" w:sz="4" w:space="0"/>
              <w:left w:val="single" w:color="auto" w:sz="4" w:space="0"/>
              <w:bottom w:val="single" w:color="auto" w:sz="4" w:space="0"/>
              <w:right w:val="single" w:color="auto" w:sz="4" w:space="0"/>
            </w:tcBorders>
          </w:tcPr>
          <w:p>
            <w:pPr>
              <w:pStyle w:val="2"/>
              <w:spacing w:before="62" w:after="62"/>
              <w:rPr>
                <w:rFonts w:hint="default" w:ascii="Times New Roman" w:hAnsi="Times New Roman" w:cs="Times New Roman"/>
                <w:b/>
                <w:bCs/>
                <w:color w:val="000080"/>
                <w:spacing w:val="-2"/>
                <w:kern w:val="0"/>
                <w:sz w:val="20"/>
                <w:szCs w:val="20"/>
                <w:highlight w:val="none"/>
                <w:lang w:val="en-US" w:eastAsia="zh-CN" w:bidi="ar-SA"/>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rPr>
                <w:b/>
                <w:bCs/>
                <w:color w:val="000080"/>
                <w:spacing w:val="-2"/>
                <w:lang w:val="en-US" w:eastAsia="zh-CN"/>
              </w:rPr>
            </w:pPr>
            <w:r>
              <w:rPr>
                <w:rFonts w:hint="eastAsia"/>
                <w:b/>
                <w:bCs/>
                <w:color w:val="000080"/>
                <w:spacing w:val="-2"/>
              </w:rPr>
              <w:t>9.7.</w:t>
            </w:r>
            <w:r>
              <w:rPr>
                <w:rFonts w:hint="eastAsia"/>
                <w:b/>
                <w:bCs/>
                <w:color w:val="000080"/>
                <w:spacing w:val="-2"/>
                <w:lang w:val="en-US" w:eastAsia="zh-CN"/>
              </w:rPr>
              <w:t>7</w:t>
            </w:r>
          </w:p>
        </w:tc>
        <w:tc>
          <w:tcPr>
            <w:tcW w:w="1178" w:type="dxa"/>
            <w:tcBorders>
              <w:top w:val="single" w:color="auto" w:sz="4" w:space="0"/>
              <w:left w:val="single" w:color="auto" w:sz="4" w:space="0"/>
              <w:bottom w:val="single" w:color="auto" w:sz="4" w:space="0"/>
              <w:right w:val="single" w:color="auto" w:sz="4" w:space="0"/>
            </w:tcBorders>
          </w:tcPr>
          <w:p>
            <w:pPr>
              <w:rPr>
                <w:b/>
                <w:bCs/>
                <w:color w:val="000080"/>
                <w:spacing w:val="-2"/>
              </w:rPr>
            </w:pPr>
            <w:r>
              <w:rPr>
                <w:rFonts w:hint="eastAsia"/>
                <w:b/>
                <w:bCs/>
                <w:color w:val="000080"/>
                <w:spacing w:val="-2"/>
              </w:rPr>
              <w:t>压力释放装置</w:t>
            </w:r>
          </w:p>
        </w:tc>
        <w:tc>
          <w:tcPr>
            <w:tcW w:w="2835" w:type="dxa"/>
            <w:tcBorders>
              <w:top w:val="single" w:color="auto" w:sz="4" w:space="0"/>
              <w:left w:val="single" w:color="auto" w:sz="4"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风险管理文件包括压力释放装置</w:t>
            </w:r>
            <w:r>
              <w:rPr>
                <w:rFonts w:hint="eastAsia"/>
                <w:b/>
                <w:bCs/>
                <w:color w:val="000080"/>
                <w:spacing w:val="-2"/>
                <w:szCs w:val="20"/>
                <w:lang w:val="en-US" w:eastAsia="zh-CN"/>
              </w:rPr>
              <w:t>由于排放口的位置和方向会将物质沉积到不可接受风险的部件上</w:t>
            </w:r>
            <w:r>
              <w:rPr>
                <w:rFonts w:hint="eastAsia"/>
                <w:b/>
                <w:bCs/>
                <w:color w:val="000080"/>
                <w:spacing w:val="-2"/>
                <w:szCs w:val="20"/>
                <w:lang w:eastAsia="zh-CN"/>
              </w:rPr>
              <w:t>的风险评估</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w:t>
            </w:r>
            <w:r>
              <w:rPr>
                <w:rFonts w:hint="eastAsia"/>
                <w:b/>
                <w:bCs/>
                <w:color w:val="000080"/>
                <w:spacing w:val="-2"/>
                <w:sz w:val="18"/>
                <w:szCs w:val="16"/>
                <w:lang w:val="en-US" w:eastAsia="zh-CN"/>
              </w:rPr>
              <w:t>,</w:t>
            </w:r>
            <w:r>
              <w:rPr>
                <w:b/>
                <w:bCs/>
                <w:color w:val="000080"/>
                <w:spacing w:val="-2"/>
                <w:sz w:val="18"/>
                <w:szCs w:val="16"/>
                <w:lang w:val="en-US" w:eastAsia="zh-CN"/>
              </w:rPr>
              <w:t>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trHeight w:val="732" w:hRule="atLeast"/>
          <w:jc w:val="center"/>
        </w:trPr>
        <w:tc>
          <w:tcPr>
            <w:tcW w:w="725" w:type="dxa"/>
            <w:vMerge w:val="restart"/>
            <w:tcBorders>
              <w:top w:val="single" w:color="auto" w:sz="4" w:space="0"/>
              <w:left w:val="single" w:color="auto" w:sz="4" w:space="0"/>
              <w:right w:val="single" w:color="auto" w:sz="4" w:space="0"/>
            </w:tcBorders>
          </w:tcPr>
          <w:p>
            <w:pPr>
              <w:rPr>
                <w:b/>
                <w:bCs/>
                <w:color w:val="000080"/>
                <w:spacing w:val="-2"/>
                <w:lang w:eastAsia="zh-CN"/>
              </w:rPr>
            </w:pPr>
            <w:r>
              <w:rPr>
                <w:rFonts w:hint="eastAsia"/>
                <w:b/>
                <w:bCs/>
                <w:color w:val="000080"/>
                <w:spacing w:val="-2"/>
              </w:rPr>
              <w:t>9.8.1</w:t>
            </w:r>
          </w:p>
        </w:tc>
        <w:tc>
          <w:tcPr>
            <w:tcW w:w="1178" w:type="dxa"/>
            <w:vMerge w:val="restart"/>
            <w:tcBorders>
              <w:top w:val="single" w:color="auto" w:sz="4" w:space="0"/>
              <w:left w:val="single" w:color="auto" w:sz="4" w:space="0"/>
              <w:right w:val="single" w:color="auto" w:sz="4" w:space="0"/>
            </w:tcBorders>
          </w:tcPr>
          <w:p>
            <w:pPr>
              <w:rPr>
                <w:b/>
                <w:bCs/>
                <w:color w:val="000080"/>
                <w:spacing w:val="-2"/>
              </w:rPr>
            </w:pPr>
            <w:r>
              <w:rPr>
                <w:rFonts w:hint="eastAsia"/>
                <w:b/>
                <w:bCs/>
                <w:color w:val="000080"/>
                <w:spacing w:val="-2"/>
              </w:rPr>
              <w:t>支承系统相关的机械危害-概述</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lang w:eastAsia="zh-CN"/>
              </w:rPr>
            </w:pPr>
            <w:r>
              <w:rPr>
                <w:rFonts w:hint="eastAsia" w:ascii="Times New Roman" w:hAnsi="Times New Roman" w:cs="Times New Roman"/>
                <w:b/>
                <w:bCs/>
                <w:color w:val="000080"/>
                <w:spacing w:val="-2"/>
                <w:kern w:val="0"/>
                <w:sz w:val="20"/>
                <w:szCs w:val="20"/>
                <w:highlight w:val="none"/>
                <w:lang w:val="en-US" w:eastAsia="zh-CN" w:bidi="ar-SA"/>
              </w:rPr>
              <w:t>风险管理文件中应包含</w:t>
            </w:r>
            <w:r>
              <w:rPr>
                <w:rFonts w:hint="default" w:ascii="Times New Roman" w:hAnsi="Times New Roman" w:cs="Times New Roman"/>
                <w:b/>
                <w:bCs/>
                <w:color w:val="000080"/>
                <w:spacing w:val="-2"/>
                <w:kern w:val="0"/>
                <w:sz w:val="20"/>
                <w:szCs w:val="20"/>
                <w:highlight w:val="none"/>
                <w:lang w:val="en-GB" w:eastAsia="zh-CN" w:bidi="ar-SA"/>
              </w:rPr>
              <w:t>ME设备中，用于支承载荷或提供动力的部件</w:t>
            </w:r>
            <w:r>
              <w:rPr>
                <w:rFonts w:hint="eastAsia" w:ascii="Times New Roman" w:hAnsi="Times New Roman" w:cs="Times New Roman"/>
                <w:b/>
                <w:bCs/>
                <w:color w:val="000080"/>
                <w:spacing w:val="-2"/>
                <w:kern w:val="0"/>
                <w:sz w:val="20"/>
                <w:szCs w:val="20"/>
                <w:highlight w:val="none"/>
                <w:lang w:val="en-US" w:eastAsia="zh-CN" w:bidi="ar-SA"/>
              </w:rPr>
              <w:t>的</w:t>
            </w:r>
            <w:r>
              <w:rPr>
                <w:rFonts w:hint="default" w:ascii="Times New Roman" w:hAnsi="Times New Roman" w:cs="Times New Roman"/>
                <w:b/>
                <w:bCs/>
                <w:color w:val="000080"/>
                <w:spacing w:val="-2"/>
                <w:kern w:val="0"/>
                <w:sz w:val="20"/>
                <w:szCs w:val="20"/>
                <w:highlight w:val="none"/>
                <w:lang w:val="en-GB" w:eastAsia="zh-CN" w:bidi="ar-SA"/>
              </w:rPr>
              <w:t>机械失效的风险</w:t>
            </w:r>
            <w:r>
              <w:rPr>
                <w:rFonts w:hint="eastAsia" w:ascii="Times New Roman" w:hAnsi="Times New Roman" w:cs="Times New Roman"/>
                <w:b/>
                <w:bCs/>
                <w:color w:val="000080"/>
                <w:spacing w:val="-2"/>
                <w:kern w:val="0"/>
                <w:sz w:val="20"/>
                <w:szCs w:val="20"/>
                <w:highlight w:val="none"/>
                <w:lang w:val="en-US" w:eastAsia="zh-CN" w:bidi="ar-SA"/>
              </w:rPr>
              <w:t>评估</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vMerge w:val="restart"/>
            <w:tcBorders>
              <w:top w:val="single" w:color="auto" w:sz="4" w:space="0"/>
              <w:left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trHeight w:val="732" w:hRule="atLeast"/>
          <w:jc w:val="center"/>
        </w:trPr>
        <w:tc>
          <w:tcPr>
            <w:tcW w:w="725" w:type="dxa"/>
            <w:vMerge w:val="continue"/>
            <w:tcBorders>
              <w:left w:val="single" w:color="auto" w:sz="4" w:space="0"/>
              <w:right w:val="single" w:color="auto" w:sz="4" w:space="0"/>
            </w:tcBorders>
          </w:tcPr>
          <w:p>
            <w:pPr>
              <w:pStyle w:val="2"/>
              <w:spacing w:before="31" w:after="62"/>
            </w:pPr>
          </w:p>
        </w:tc>
        <w:tc>
          <w:tcPr>
            <w:tcW w:w="1178" w:type="dxa"/>
            <w:vMerge w:val="continue"/>
            <w:tcBorders>
              <w:left w:val="single" w:color="auto" w:sz="4" w:space="0"/>
              <w:right w:val="single" w:color="auto" w:sz="4" w:space="0"/>
            </w:tcBorders>
          </w:tcPr>
          <w:p>
            <w:pPr>
              <w:pStyle w:val="2"/>
              <w:spacing w:before="31" w:after="62"/>
            </w:pPr>
          </w:p>
        </w:tc>
        <w:tc>
          <w:tcPr>
            <w:tcW w:w="2835" w:type="dxa"/>
            <w:tcBorders>
              <w:top w:val="single" w:color="auto" w:sz="4" w:space="0"/>
              <w:left w:val="single" w:color="auto" w:sz="4" w:space="0"/>
              <w:bottom w:val="single" w:color="auto" w:sz="4" w:space="0"/>
              <w:right w:val="single" w:color="auto" w:sz="4" w:space="0"/>
            </w:tcBorders>
            <w:vAlign w:val="top"/>
          </w:tcPr>
          <w:p>
            <w:pPr>
              <w:pStyle w:val="2"/>
              <w:spacing w:before="62" w:after="62"/>
              <w:rPr>
                <w:rFonts w:hint="default" w:ascii="Times New Roman" w:hAnsi="Times New Roman" w:eastAsia="宋体"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GB" w:eastAsia="zh-CN" w:bidi="ar-SA"/>
              </w:rPr>
              <w:t>——</w:t>
            </w:r>
            <w:r>
              <w:rPr>
                <w:rFonts w:hint="default" w:ascii="Times New Roman" w:hAnsi="Times New Roman" w:eastAsia="宋体" w:cs="Times New Roman"/>
                <w:b/>
                <w:bCs/>
                <w:color w:val="000080"/>
                <w:spacing w:val="-2"/>
                <w:kern w:val="0"/>
                <w:sz w:val="20"/>
                <w:szCs w:val="20"/>
                <w:highlight w:val="none"/>
                <w:lang w:val="en-GB" w:eastAsia="zh-CN" w:bidi="ar-SA"/>
              </w:rPr>
              <w:t>支承系统的风险分析应考虑来自静态、动态、振动、冲击和压力载荷、基础和其他运动、温度、环境、制造和维修条件的机械危险</w:t>
            </w:r>
            <w:r>
              <w:rPr>
                <w:rFonts w:hint="default" w:ascii="Times New Roman" w:hAnsi="Times New Roman" w:cs="Times New Roman"/>
                <w:b/>
                <w:bCs/>
                <w:color w:val="000080"/>
                <w:spacing w:val="-2"/>
                <w:kern w:val="0"/>
                <w:sz w:val="20"/>
                <w:szCs w:val="20"/>
                <w:highlight w:val="none"/>
                <w:lang w:val="en-GB" w:eastAsia="zh-CN" w:bidi="ar-SA"/>
              </w:rPr>
              <w:t>；</w:t>
            </w:r>
          </w:p>
        </w:tc>
        <w:tc>
          <w:tcPr>
            <w:tcW w:w="3110"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trHeight w:val="732" w:hRule="atLeast"/>
          <w:jc w:val="center"/>
        </w:trPr>
        <w:tc>
          <w:tcPr>
            <w:tcW w:w="725" w:type="dxa"/>
            <w:vMerge w:val="continue"/>
            <w:tcBorders>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1178" w:type="dxa"/>
            <w:vMerge w:val="continue"/>
            <w:tcBorders>
              <w:left w:val="single" w:color="auto" w:sz="4" w:space="0"/>
              <w:bottom w:val="single" w:color="auto" w:sz="4" w:space="0"/>
              <w:right w:val="single" w:color="auto" w:sz="4" w:space="0"/>
            </w:tcBorders>
          </w:tcPr>
          <w:p>
            <w:pPr>
              <w:pStyle w:val="2"/>
              <w:spacing w:before="31" w:after="62"/>
              <w:rPr>
                <w:b/>
                <w:bCs/>
                <w:color w:val="000080"/>
                <w:spacing w:val="-2"/>
                <w:sz w:val="18"/>
                <w:szCs w:val="16"/>
                <w:lang w:val="en-US" w:eastAsia="zh-CN"/>
              </w:rPr>
            </w:pPr>
          </w:p>
        </w:tc>
        <w:tc>
          <w:tcPr>
            <w:tcW w:w="2835" w:type="dxa"/>
            <w:tcBorders>
              <w:top w:val="single" w:color="auto" w:sz="4" w:space="0"/>
              <w:left w:val="single" w:color="auto" w:sz="4" w:space="0"/>
              <w:bottom w:val="single" w:color="auto" w:sz="4" w:space="0"/>
              <w:right w:val="single" w:color="auto" w:sz="4" w:space="0"/>
            </w:tcBorders>
            <w:vAlign w:val="top"/>
          </w:tcPr>
          <w:p>
            <w:pPr>
              <w:pStyle w:val="2"/>
              <w:spacing w:before="62" w:after="62"/>
              <w:rPr>
                <w:rFonts w:hint="default" w:ascii="Times New Roman" w:hAnsi="Times New Roman" w:cs="Times New Roman"/>
                <w:b/>
                <w:bCs/>
                <w:color w:val="000080"/>
                <w:spacing w:val="-2"/>
                <w:kern w:val="0"/>
                <w:sz w:val="20"/>
                <w:szCs w:val="20"/>
                <w:highlight w:val="none"/>
                <w:lang w:val="en-GB" w:eastAsia="zh-CN" w:bidi="ar-SA"/>
              </w:rPr>
            </w:pPr>
            <w:r>
              <w:rPr>
                <w:rFonts w:hint="default" w:ascii="Times New Roman" w:hAnsi="Times New Roman" w:cs="Times New Roman"/>
                <w:b/>
                <w:bCs/>
                <w:color w:val="000080"/>
                <w:spacing w:val="-2"/>
                <w:kern w:val="0"/>
                <w:sz w:val="20"/>
                <w:szCs w:val="20"/>
                <w:highlight w:val="none"/>
                <w:lang w:val="en-GB" w:eastAsia="zh-CN" w:bidi="ar-SA"/>
              </w:rPr>
              <w:t>——风险分析中应考虑到所有可能的失效，包括超差、塑性变形、脆性和塑性断裂、疲劳断裂、不稳定性（弯折）、应力腐蚀开裂、磨损、材料蠕变、材料退化和来自制造过程中的剩余应力，例如机械加工、装配、焊接、热处理和表面涂层；</w:t>
            </w:r>
          </w:p>
          <w:p>
            <w:pPr>
              <w:pStyle w:val="2"/>
              <w:spacing w:before="62" w:after="62"/>
              <w:rPr>
                <w:rFonts w:hint="default" w:ascii="Times New Roman" w:hAnsi="Times New Roman" w:cs="Times New Roman"/>
                <w:b/>
                <w:bCs/>
                <w:color w:val="000080"/>
                <w:spacing w:val="-2"/>
                <w:kern w:val="0"/>
                <w:sz w:val="20"/>
                <w:szCs w:val="20"/>
                <w:highlight w:val="none"/>
                <w:lang w:val="en-US" w:eastAsia="zh-CN" w:bidi="ar-SA"/>
              </w:rPr>
            </w:pPr>
            <w:r>
              <w:rPr>
                <w:rFonts w:hint="default" w:ascii="Times New Roman" w:hAnsi="Times New Roman" w:cs="Times New Roman"/>
                <w:b/>
                <w:bCs/>
                <w:color w:val="000080"/>
                <w:spacing w:val="-2"/>
                <w:kern w:val="0"/>
                <w:sz w:val="20"/>
                <w:szCs w:val="20"/>
                <w:highlight w:val="none"/>
                <w:lang w:val="en-US" w:eastAsia="zh-CN" w:bidi="ar-SA"/>
              </w:rPr>
              <w:t>(</w:t>
            </w:r>
            <w:r>
              <w:rPr>
                <w:rFonts w:hint="eastAsia" w:ascii="Times New Roman" w:hAnsi="Times New Roman" w:cs="Times New Roman"/>
                <w:b/>
                <w:bCs/>
                <w:color w:val="000080"/>
                <w:spacing w:val="-2"/>
                <w:kern w:val="0"/>
                <w:sz w:val="20"/>
                <w:szCs w:val="20"/>
                <w:highlight w:val="none"/>
                <w:lang w:val="en-US" w:eastAsia="zh-CN" w:bidi="ar-SA"/>
              </w:rPr>
              <w:t xml:space="preserve">YY/T 0316 </w:t>
            </w:r>
            <w:r>
              <w:rPr>
                <w:rFonts w:hint="default" w:ascii="Times New Roman" w:hAnsi="Times New Roman" w:cs="Times New Roman"/>
                <w:b/>
                <w:bCs/>
                <w:color w:val="000080"/>
                <w:spacing w:val="-2"/>
                <w:kern w:val="0"/>
                <w:sz w:val="20"/>
                <w:szCs w:val="20"/>
                <w:highlight w:val="none"/>
                <w:lang w:val="en-US" w:eastAsia="zh-CN" w:bidi="ar-SA"/>
              </w:rPr>
              <w:t>Cl.4.2-4.4,5</w:t>
            </w:r>
            <w:r>
              <w:rPr>
                <w:rFonts w:hint="eastAsia" w:ascii="Times New Roman" w:hAnsi="Times New Roman" w:cs="Times New Roman"/>
                <w:b/>
                <w:bCs/>
                <w:color w:val="000080"/>
                <w:spacing w:val="-2"/>
                <w:kern w:val="0"/>
                <w:sz w:val="20"/>
                <w:szCs w:val="20"/>
                <w:highlight w:val="none"/>
                <w:lang w:val="en-US" w:eastAsia="zh-CN" w:bidi="ar-SA"/>
              </w:rPr>
              <w:t>,6.2-6.</w:t>
            </w:r>
            <w:r>
              <w:rPr>
                <w:rFonts w:hint="default" w:ascii="Times New Roman" w:hAnsi="Times New Roman" w:cs="Times New Roman"/>
                <w:b/>
                <w:bCs/>
                <w:color w:val="000080"/>
                <w:spacing w:val="-2"/>
                <w:kern w:val="0"/>
                <w:sz w:val="20"/>
                <w:szCs w:val="20"/>
                <w:highlight w:val="none"/>
                <w:lang w:val="en-US" w:eastAsia="zh-CN" w:bidi="ar-SA"/>
              </w:rPr>
              <w:t>5</w:t>
            </w:r>
            <w:r>
              <w:rPr>
                <w:rFonts w:hint="eastAsia" w:ascii="Times New Roman" w:hAnsi="Times New Roman" w:cs="Times New Roman"/>
                <w:b/>
                <w:bCs/>
                <w:color w:val="000080"/>
                <w:spacing w:val="-2"/>
                <w:kern w:val="0"/>
                <w:sz w:val="20"/>
                <w:szCs w:val="20"/>
                <w:highlight w:val="none"/>
                <w:lang w:val="en-US" w:eastAsia="zh-CN" w:bidi="ar-SA"/>
              </w:rPr>
              <w:t>)</w:t>
            </w:r>
          </w:p>
        </w:tc>
        <w:tc>
          <w:tcPr>
            <w:tcW w:w="3110" w:type="dxa"/>
            <w:tcBorders>
              <w:top w:val="single" w:color="auto" w:sz="4" w:space="0"/>
              <w:left w:val="single" w:color="auto" w:sz="4" w:space="0"/>
              <w:bottom w:val="single" w:color="auto" w:sz="4" w:space="0"/>
              <w:right w:val="single" w:color="auto" w:sz="4" w:space="0"/>
            </w:tcBorders>
          </w:tcPr>
          <w:p>
            <w:pPr>
              <w:pStyle w:val="2"/>
              <w:spacing w:before="62" w:after="62"/>
              <w:rPr>
                <w:rFonts w:hint="default" w:ascii="Times New Roman" w:hAnsi="Times New Roman" w:cs="Times New Roman"/>
                <w:b/>
                <w:bCs/>
                <w:color w:val="000080"/>
                <w:spacing w:val="-2"/>
                <w:kern w:val="0"/>
                <w:sz w:val="20"/>
                <w:szCs w:val="20"/>
                <w:highlight w:val="none"/>
                <w:lang w:val="en-US" w:eastAsia="zh-CN" w:bidi="ar-SA"/>
              </w:rPr>
            </w:pPr>
          </w:p>
        </w:tc>
        <w:tc>
          <w:tcPr>
            <w:tcW w:w="1907" w:type="dxa"/>
            <w:vMerge w:val="continue"/>
            <w:tcBorders>
              <w:left w:val="single" w:color="auto" w:sz="4" w:space="0"/>
              <w:right w:val="single" w:color="auto" w:sz="4" w:space="0"/>
            </w:tcBorders>
          </w:tcPr>
          <w:p>
            <w:pPr>
              <w:pStyle w:val="2"/>
              <w:spacing w:before="31" w:after="62"/>
              <w:rPr>
                <w:b/>
                <w:bCs/>
                <w:color w:val="000080"/>
                <w:spacing w:val="-2"/>
                <w:sz w:val="18"/>
                <w:szCs w:val="16"/>
                <w:lang w:val="en-US" w:eastAsia="zh-CN"/>
              </w:rPr>
            </w:pPr>
          </w:p>
        </w:tc>
      </w:tr>
      <w:tr>
        <w:tblPrEx>
          <w:tblCellMar>
            <w:top w:w="0" w:type="dxa"/>
            <w:left w:w="60" w:type="dxa"/>
            <w:bottom w:w="0" w:type="dxa"/>
            <w:right w:w="60" w:type="dxa"/>
          </w:tblCellMar>
        </w:tblPrEx>
        <w:trPr>
          <w:cantSplit/>
          <w:jc w:val="center"/>
        </w:trPr>
        <w:tc>
          <w:tcPr>
            <w:tcW w:w="725" w:type="dxa"/>
            <w:vMerge w:val="restart"/>
            <w:tcBorders>
              <w:top w:val="single" w:color="auto" w:sz="4" w:space="0"/>
              <w:left w:val="single" w:color="auto" w:sz="4" w:space="0"/>
            </w:tcBorders>
          </w:tcPr>
          <w:p>
            <w:pPr>
              <w:rPr>
                <w:b/>
                <w:bCs/>
                <w:color w:val="000080"/>
                <w:spacing w:val="-2"/>
                <w:lang w:eastAsia="zh-CN"/>
              </w:rPr>
            </w:pPr>
            <w:r>
              <w:rPr>
                <w:rFonts w:hint="eastAsia"/>
                <w:b/>
                <w:bCs/>
                <w:color w:val="000080"/>
                <w:spacing w:val="-2"/>
                <w:lang w:val="en-US" w:eastAsia="zh-CN"/>
              </w:rPr>
              <w:t>*</w:t>
            </w:r>
            <w:r>
              <w:rPr>
                <w:rFonts w:hint="eastAsia"/>
                <w:b/>
                <w:bCs/>
                <w:color w:val="000080"/>
                <w:spacing w:val="-2"/>
              </w:rPr>
              <w:t>9.8.2</w:t>
            </w:r>
          </w:p>
        </w:tc>
        <w:tc>
          <w:tcPr>
            <w:tcW w:w="1178" w:type="dxa"/>
            <w:vMerge w:val="restart"/>
            <w:tcBorders>
              <w:top w:val="single" w:color="auto" w:sz="4" w:space="0"/>
              <w:left w:val="single" w:color="auto" w:sz="6" w:space="0"/>
            </w:tcBorders>
          </w:tcPr>
          <w:p>
            <w:pPr>
              <w:rPr>
                <w:b/>
                <w:bCs/>
                <w:color w:val="000080"/>
                <w:spacing w:val="-2"/>
              </w:rPr>
            </w:pPr>
            <w:r>
              <w:rPr>
                <w:rFonts w:hint="eastAsia"/>
                <w:b/>
                <w:bCs/>
                <w:color w:val="000080"/>
                <w:spacing w:val="-2"/>
              </w:rPr>
              <w:t>拉伸安全系数</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风险管理文件包括对结构完整性的评估。</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w:t>
            </w:r>
            <w:r>
              <w:rPr>
                <w:rFonts w:hint="eastAsia"/>
                <w:b/>
                <w:bCs/>
                <w:color w:val="000080"/>
                <w:spacing w:val="-2"/>
                <w:sz w:val="18"/>
                <w:szCs w:val="16"/>
                <w:lang w:val="en-US" w:eastAsia="zh-CN"/>
              </w:rPr>
              <w:t>,</w:t>
            </w:r>
            <w:r>
              <w:rPr>
                <w:b/>
                <w:bCs/>
                <w:color w:val="000080"/>
                <w:spacing w:val="-2"/>
                <w:sz w:val="18"/>
                <w:szCs w:val="16"/>
                <w:lang w:val="en-US" w:eastAsia="zh-CN"/>
              </w:rPr>
              <w:t>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vMerge w:val="continue"/>
            <w:tcBorders>
              <w:left w:val="single" w:color="auto" w:sz="4" w:space="0"/>
              <w:bottom w:val="single" w:color="auto" w:sz="4" w:space="0"/>
            </w:tcBorders>
          </w:tcPr>
          <w:p>
            <w:pPr>
              <w:rPr>
                <w:b/>
                <w:bCs/>
                <w:color w:val="000080"/>
                <w:spacing w:val="-2"/>
                <w:lang w:val="en-US" w:eastAsia="zh-CN"/>
              </w:rPr>
            </w:pPr>
          </w:p>
        </w:tc>
        <w:tc>
          <w:tcPr>
            <w:tcW w:w="1178" w:type="dxa"/>
            <w:vMerge w:val="continue"/>
            <w:tcBorders>
              <w:left w:val="single" w:color="auto" w:sz="6" w:space="0"/>
              <w:bottom w:val="single" w:color="auto" w:sz="4" w:space="0"/>
            </w:tcBorders>
          </w:tcPr>
          <w:p>
            <w:pPr>
              <w:rPr>
                <w:b/>
                <w:bCs/>
                <w:color w:val="000080"/>
                <w:spacing w:val="-2"/>
              </w:rPr>
            </w:pP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被测支撑系统在1</w:t>
            </w:r>
            <w:r>
              <w:rPr>
                <w:b/>
                <w:bCs/>
                <w:color w:val="000080"/>
                <w:spacing w:val="-2"/>
                <w:szCs w:val="20"/>
                <w:lang w:eastAsia="zh-CN"/>
              </w:rPr>
              <w:t>min内</w:t>
            </w:r>
            <w:r>
              <w:rPr>
                <w:rFonts w:hint="eastAsia"/>
                <w:b/>
                <w:bCs/>
                <w:color w:val="000080"/>
                <w:spacing w:val="-2"/>
                <w:szCs w:val="20"/>
                <w:lang w:eastAsia="zh-CN"/>
              </w:rPr>
              <w:t>无法</w:t>
            </w:r>
            <w:r>
              <w:rPr>
                <w:b/>
                <w:bCs/>
                <w:color w:val="000080"/>
                <w:spacing w:val="-2"/>
                <w:szCs w:val="20"/>
                <w:lang w:eastAsia="zh-CN"/>
              </w:rPr>
              <w:t>保持</w:t>
            </w:r>
            <w:r>
              <w:rPr>
                <w:rFonts w:hint="eastAsia"/>
                <w:b/>
                <w:bCs/>
                <w:color w:val="000080"/>
                <w:spacing w:val="-2"/>
                <w:szCs w:val="20"/>
                <w:lang w:eastAsia="zh-CN"/>
              </w:rPr>
              <w:t>平衡</w:t>
            </w:r>
            <w:r>
              <w:rPr>
                <w:b/>
                <w:bCs/>
                <w:color w:val="000080"/>
                <w:spacing w:val="-2"/>
                <w:szCs w:val="20"/>
                <w:lang w:eastAsia="zh-CN"/>
              </w:rPr>
              <w:t>的</w:t>
            </w:r>
            <w:r>
              <w:rPr>
                <w:rFonts w:hint="eastAsia"/>
                <w:b/>
                <w:bCs/>
                <w:color w:val="000080"/>
                <w:spacing w:val="-2"/>
                <w:szCs w:val="20"/>
                <w:lang w:eastAsia="zh-CN"/>
              </w:rPr>
              <w:t>，</w:t>
            </w:r>
            <w:r>
              <w:rPr>
                <w:b/>
                <w:bCs/>
                <w:color w:val="000080"/>
                <w:spacing w:val="-2"/>
                <w:szCs w:val="20"/>
                <w:lang w:eastAsia="zh-CN"/>
              </w:rPr>
              <w:t>风险管理文件应包含对测试结果的风险评估。</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9.8.3.1</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患者或操作者支撑或悬挂系统的强度要求</w:t>
            </w:r>
          </w:p>
        </w:tc>
        <w:tc>
          <w:tcPr>
            <w:tcW w:w="2835" w:type="dxa"/>
            <w:tcBorders>
              <w:top w:val="single" w:color="auto" w:sz="4" w:space="0"/>
              <w:left w:val="single" w:color="auto" w:sz="6" w:space="0"/>
              <w:bottom w:val="single" w:color="auto" w:sz="4" w:space="0"/>
              <w:right w:val="single" w:color="000000"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风险管理文件应</w:t>
            </w:r>
            <w:r>
              <w:rPr>
                <w:b/>
                <w:bCs/>
                <w:color w:val="000080"/>
                <w:spacing w:val="-2"/>
                <w:szCs w:val="20"/>
                <w:lang w:eastAsia="zh-CN"/>
              </w:rPr>
              <w:t>包含</w:t>
            </w:r>
            <w:r>
              <w:rPr>
                <w:rFonts w:hint="eastAsia"/>
                <w:b/>
                <w:bCs/>
                <w:color w:val="000080"/>
                <w:spacing w:val="-2"/>
                <w:szCs w:val="20"/>
                <w:lang w:eastAsia="zh-CN"/>
              </w:rPr>
              <w:t>物理伤害和</w:t>
            </w:r>
            <w:r>
              <w:rPr>
                <w:b/>
                <w:bCs/>
                <w:color w:val="000080"/>
                <w:spacing w:val="-2"/>
                <w:szCs w:val="20"/>
                <w:lang w:eastAsia="zh-CN"/>
              </w:rPr>
              <w:t>固定装置</w:t>
            </w:r>
            <w:r>
              <w:rPr>
                <w:rFonts w:hint="eastAsia"/>
                <w:b/>
                <w:bCs/>
                <w:color w:val="000080"/>
                <w:spacing w:val="-2"/>
                <w:szCs w:val="20"/>
                <w:lang w:eastAsia="zh-CN"/>
              </w:rPr>
              <w:t>意外</w:t>
            </w:r>
            <w:r>
              <w:rPr>
                <w:b/>
                <w:bCs/>
                <w:color w:val="000080"/>
                <w:spacing w:val="-2"/>
                <w:szCs w:val="20"/>
                <w:lang w:eastAsia="zh-CN"/>
              </w:rPr>
              <w:t>脱落的</w:t>
            </w:r>
            <w:r>
              <w:rPr>
                <w:rFonts w:hint="eastAsia"/>
                <w:b/>
                <w:bCs/>
                <w:color w:val="000080"/>
                <w:spacing w:val="-2"/>
                <w:szCs w:val="20"/>
                <w:lang w:eastAsia="zh-CN"/>
              </w:rPr>
              <w:t>风险评估</w:t>
            </w:r>
            <w:r>
              <w:rPr>
                <w:b/>
                <w:bCs/>
                <w:color w:val="000080"/>
                <w:spacing w:val="-2"/>
                <w:szCs w:val="20"/>
                <w:lang w:eastAsia="zh-CN"/>
              </w:rPr>
              <w:t>。</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000000" w:sz="4"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trHeight w:val="1992" w:hRule="atLeast"/>
          <w:jc w:val="center"/>
        </w:trPr>
        <w:tc>
          <w:tcPr>
            <w:tcW w:w="725" w:type="dxa"/>
            <w:tcBorders>
              <w:top w:val="single" w:color="auto" w:sz="4" w:space="0"/>
              <w:left w:val="single" w:color="auto" w:sz="4" w:space="0"/>
            </w:tcBorders>
          </w:tcPr>
          <w:p>
            <w:pPr>
              <w:rPr>
                <w:b/>
                <w:bCs/>
                <w:color w:val="000080"/>
                <w:spacing w:val="-2"/>
                <w:lang w:eastAsia="zh-CN"/>
              </w:rPr>
            </w:pPr>
            <w:r>
              <w:rPr>
                <w:rFonts w:hint="eastAsia"/>
                <w:b/>
                <w:bCs/>
                <w:color w:val="000080"/>
                <w:spacing w:val="-2"/>
              </w:rPr>
              <w:t>9.8.5</w:t>
            </w:r>
          </w:p>
        </w:tc>
        <w:tc>
          <w:tcPr>
            <w:tcW w:w="1178" w:type="dxa"/>
            <w:tcBorders>
              <w:top w:val="single" w:color="auto" w:sz="4" w:space="0"/>
              <w:left w:val="single" w:color="auto" w:sz="6" w:space="0"/>
            </w:tcBorders>
          </w:tcPr>
          <w:p>
            <w:pPr>
              <w:rPr>
                <w:b/>
                <w:bCs/>
                <w:color w:val="000080"/>
                <w:spacing w:val="-2"/>
              </w:rPr>
            </w:pPr>
            <w:r>
              <w:rPr>
                <w:rFonts w:hint="eastAsia"/>
                <w:b/>
                <w:bCs/>
                <w:color w:val="000080"/>
                <w:spacing w:val="-2"/>
              </w:rPr>
              <w:t>无机械防护装置的系统</w:t>
            </w:r>
          </w:p>
        </w:tc>
        <w:tc>
          <w:tcPr>
            <w:tcW w:w="2835" w:type="dxa"/>
            <w:tcBorders>
              <w:top w:val="single" w:color="auto" w:sz="4" w:space="0"/>
              <w:left w:val="single" w:color="auto" w:sz="6" w:space="0"/>
              <w:right w:val="single" w:color="000000" w:sz="4" w:space="0"/>
            </w:tcBorders>
          </w:tcPr>
          <w:p>
            <w:pPr>
              <w:pStyle w:val="2"/>
              <w:spacing w:before="31" w:after="62"/>
              <w:rPr>
                <w:b/>
                <w:bCs/>
                <w:color w:val="000080"/>
                <w:spacing w:val="-2"/>
                <w:szCs w:val="20"/>
                <w:lang w:eastAsia="zh-CN"/>
              </w:rPr>
            </w:pPr>
            <w:r>
              <w:rPr>
                <w:rFonts w:hint="eastAsia"/>
                <w:b/>
                <w:bCs/>
                <w:color w:val="000080"/>
                <w:spacing w:val="-2"/>
                <w:szCs w:val="20"/>
                <w:lang w:val="en-US" w:eastAsia="zh-CN"/>
              </w:rPr>
              <w:t>风险管理</w:t>
            </w:r>
            <w:r>
              <w:rPr>
                <w:b/>
                <w:bCs/>
                <w:color w:val="000080"/>
                <w:spacing w:val="-2"/>
                <w:szCs w:val="20"/>
                <w:lang w:val="en-US" w:eastAsia="zh-CN"/>
              </w:rPr>
              <w:t>文件</w:t>
            </w:r>
            <w:r>
              <w:rPr>
                <w:rFonts w:hint="eastAsia"/>
                <w:b/>
                <w:bCs/>
                <w:color w:val="000080"/>
                <w:spacing w:val="-2"/>
                <w:szCs w:val="20"/>
                <w:lang w:val="en-US" w:eastAsia="zh-CN"/>
              </w:rPr>
              <w:t>包含支撑系统部件的</w:t>
            </w:r>
            <w:r>
              <w:rPr>
                <w:b/>
                <w:bCs/>
                <w:color w:val="000080"/>
                <w:spacing w:val="-2"/>
                <w:szCs w:val="20"/>
                <w:lang w:val="en-US" w:eastAsia="zh-CN"/>
              </w:rPr>
              <w:t>相关风险评估。</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000000"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10.1.2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产生诊断或治疗目的X射线辐射的ME设备</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用于诊断或治疗目的X射线辐射的ME设备所产生的非预期的X射线辐射，应通过适用的专用和并列标准，或没有这些标准情况下应用风险管理过程来尽可能的减少</w:t>
            </w:r>
          </w:p>
          <w:p>
            <w:pPr>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10.2</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α、β、γ、中子和其他粒子辐射</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适用时，制造商应在风险管理过程中提到α、β、γ、中子和其他粒子辐射相关的风险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10.5</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其他可见电磁辐射</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适用时，制造商应在风险管理过程中提到除由激光器发出的辐射之外的可见电磁辐射相关的风险（见10.4）</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10.6</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红外线辐射</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适用时，制造商应在风险管理过程中提到除由激光器发出的辐射之外的红外线辐射相关的风险（见10.4）</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jc w:val="center"/>
        </w:trPr>
        <w:tc>
          <w:tcPr>
            <w:tcW w:w="725" w:type="dxa"/>
            <w:tcBorders>
              <w:top w:val="single" w:color="auto" w:sz="4" w:space="0"/>
              <w:left w:val="single" w:color="auto" w:sz="4" w:space="0"/>
              <w:bottom w:val="single" w:color="auto" w:sz="4" w:space="0"/>
            </w:tcBorders>
          </w:tcPr>
          <w:p>
            <w:pPr>
              <w:rPr>
                <w:b/>
                <w:bCs/>
                <w:color w:val="000080"/>
                <w:spacing w:val="-2"/>
                <w:lang w:eastAsia="zh-CN"/>
              </w:rPr>
            </w:pPr>
            <w:r>
              <w:rPr>
                <w:rFonts w:hint="eastAsia"/>
                <w:b/>
                <w:bCs/>
                <w:color w:val="000080"/>
                <w:spacing w:val="-2"/>
              </w:rPr>
              <w:t>10.7</w:t>
            </w:r>
          </w:p>
        </w:tc>
        <w:tc>
          <w:tcPr>
            <w:tcW w:w="1178" w:type="dxa"/>
            <w:tcBorders>
              <w:top w:val="single" w:color="auto" w:sz="4" w:space="0"/>
              <w:left w:val="single" w:color="auto" w:sz="6" w:space="0"/>
              <w:bottom w:val="single" w:color="auto" w:sz="4" w:space="0"/>
            </w:tcBorders>
          </w:tcPr>
          <w:p>
            <w:pPr>
              <w:rPr>
                <w:b/>
                <w:bCs/>
                <w:color w:val="000080"/>
                <w:spacing w:val="-2"/>
              </w:rPr>
            </w:pPr>
            <w:r>
              <w:rPr>
                <w:rFonts w:hint="eastAsia"/>
                <w:b/>
                <w:bCs/>
                <w:color w:val="000080"/>
                <w:spacing w:val="-2"/>
              </w:rPr>
              <w:t>紫外线辐射</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适用时，制造商应在风险管理过程中提到除由激光器发出的辐射之外的紫外线辐射相关的风险（见10.4）</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bottom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bottom w:val="single" w:color="auto" w:sz="4" w:space="0"/>
              <w:right w:val="single" w:color="auto" w:sz="4" w:space="0"/>
            </w:tcBorders>
          </w:tcPr>
          <w:p>
            <w:pPr>
              <w:suppressAutoHyphens/>
              <w:spacing w:before="66" w:after="54" w:line="240" w:lineRule="exact"/>
              <w:jc w:val="center"/>
              <w:rPr>
                <w:b/>
                <w:bCs/>
                <w:color w:val="000080"/>
                <w:spacing w:val="-2"/>
                <w:lang w:eastAsia="zh-CN"/>
              </w:rPr>
            </w:pPr>
          </w:p>
        </w:tc>
      </w:tr>
      <w:tr>
        <w:tblPrEx>
          <w:tblCellMar>
            <w:top w:w="0" w:type="dxa"/>
            <w:left w:w="60" w:type="dxa"/>
            <w:bottom w:w="0" w:type="dxa"/>
            <w:right w:w="60" w:type="dxa"/>
          </w:tblCellMar>
        </w:tblPrEx>
        <w:trPr>
          <w:cantSplit/>
          <w:trHeight w:val="1186" w:hRule="atLeast"/>
          <w:jc w:val="center"/>
        </w:trPr>
        <w:tc>
          <w:tcPr>
            <w:tcW w:w="725" w:type="dxa"/>
            <w:tcBorders>
              <w:top w:val="single" w:color="auto" w:sz="4" w:space="0"/>
              <w:lef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spacing w:val="-2"/>
                <w:lang w:val="en-US" w:eastAsia="zh-CN"/>
              </w:rPr>
              <w:t>*</w:t>
            </w:r>
            <w:r>
              <w:rPr>
                <w:rFonts w:hint="eastAsia"/>
                <w:b/>
                <w:bCs/>
                <w:color w:val="000080"/>
              </w:rPr>
              <w:t>11.1.1</w:t>
            </w:r>
          </w:p>
        </w:tc>
        <w:tc>
          <w:tcPr>
            <w:tcW w:w="1178" w:type="dxa"/>
            <w:tcBorders>
              <w:top w:val="single" w:color="auto" w:sz="4" w:space="0"/>
              <w:left w:val="single" w:color="auto" w:sz="6" w:space="0"/>
            </w:tcBorders>
          </w:tcPr>
          <w:p>
            <w:pPr>
              <w:widowControl w:val="0"/>
              <w:tabs>
                <w:tab w:val="left" w:pos="-720"/>
              </w:tabs>
              <w:suppressAutoHyphens/>
              <w:spacing w:before="66" w:after="54"/>
              <w:rPr>
                <w:b/>
                <w:bCs/>
                <w:color w:val="000080"/>
              </w:rPr>
            </w:pPr>
            <w:r>
              <w:rPr>
                <w:rFonts w:hint="eastAsia"/>
                <w:b/>
                <w:bCs/>
                <w:color w:val="000080"/>
              </w:rPr>
              <w:t>正常使用时的最高温度</w:t>
            </w:r>
          </w:p>
        </w:tc>
        <w:tc>
          <w:tcPr>
            <w:tcW w:w="2835" w:type="dxa"/>
            <w:tcBorders>
              <w:top w:val="single" w:color="auto" w:sz="4" w:space="0"/>
              <w:left w:val="single" w:color="auto" w:sz="6" w:space="0"/>
              <w:bottom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风险管理</w:t>
            </w:r>
            <w:r>
              <w:rPr>
                <w:b/>
                <w:bCs/>
                <w:color w:val="000080"/>
                <w:spacing w:val="-2"/>
                <w:szCs w:val="20"/>
                <w:lang w:eastAsia="zh-CN"/>
              </w:rPr>
              <w:t>文件中</w:t>
            </w:r>
            <w:r>
              <w:rPr>
                <w:rFonts w:hint="eastAsia"/>
                <w:b/>
                <w:bCs/>
                <w:color w:val="000080"/>
                <w:spacing w:val="-2"/>
                <w:szCs w:val="20"/>
                <w:lang w:eastAsia="zh-CN"/>
              </w:rPr>
              <w:t>应</w:t>
            </w:r>
            <w:r>
              <w:rPr>
                <w:b/>
                <w:bCs/>
                <w:color w:val="000080"/>
                <w:spacing w:val="-2"/>
                <w:szCs w:val="20"/>
                <w:lang w:eastAsia="zh-CN"/>
              </w:rPr>
              <w:t>包含</w:t>
            </w:r>
            <w:r>
              <w:rPr>
                <w:rFonts w:hint="eastAsia"/>
                <w:b/>
                <w:bCs/>
                <w:color w:val="000080"/>
                <w:spacing w:val="-2"/>
                <w:szCs w:val="20"/>
                <w:lang w:eastAsia="zh-CN"/>
              </w:rPr>
              <w:t>所有</w:t>
            </w:r>
            <w:r>
              <w:rPr>
                <w:b/>
                <w:bCs/>
                <w:color w:val="000080"/>
                <w:spacing w:val="-2"/>
                <w:szCs w:val="20"/>
                <w:lang w:eastAsia="zh-CN"/>
              </w:rPr>
              <w:t>的应用部分</w:t>
            </w:r>
            <w:r>
              <w:rPr>
                <w:rFonts w:hint="eastAsia"/>
                <w:b/>
                <w:bCs/>
                <w:color w:val="000080"/>
                <w:spacing w:val="-2"/>
                <w:szCs w:val="20"/>
                <w:lang w:eastAsia="zh-CN"/>
              </w:rPr>
              <w:t>和可触及</w:t>
            </w:r>
            <w:r>
              <w:rPr>
                <w:b/>
                <w:bCs/>
                <w:color w:val="000080"/>
                <w:spacing w:val="-2"/>
                <w:szCs w:val="20"/>
                <w:lang w:eastAsia="zh-CN"/>
              </w:rPr>
              <w:t>部分的接触时间。</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6"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6" w:space="0"/>
              <w:right w:val="single" w:color="auto" w:sz="4" w:space="0"/>
            </w:tcBorders>
          </w:tcPr>
          <w:p>
            <w:pPr>
              <w:suppressAutoHyphens/>
              <w:spacing w:before="66" w:after="54" w:line="240" w:lineRule="exact"/>
              <w:jc w:val="center"/>
              <w:rPr>
                <w:b/>
                <w:bCs/>
                <w:color w:val="000080"/>
                <w:spacing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Pr>
          <w:p>
            <w:pPr>
              <w:widowControl w:val="0"/>
              <w:tabs>
                <w:tab w:val="left" w:pos="-720"/>
              </w:tabs>
              <w:suppressAutoHyphens/>
              <w:spacing w:before="66" w:after="54"/>
              <w:rPr>
                <w:b/>
                <w:bCs/>
                <w:color w:val="000080"/>
              </w:rPr>
            </w:pPr>
            <w:r>
              <w:rPr>
                <w:rFonts w:hint="eastAsia"/>
                <w:b/>
                <w:bCs/>
                <w:color w:val="000080"/>
                <w:spacing w:val="-2"/>
                <w:lang w:val="en-US" w:eastAsia="zh-CN"/>
              </w:rPr>
              <w:t>*</w:t>
            </w:r>
            <w:r>
              <w:rPr>
                <w:rFonts w:hint="eastAsia"/>
                <w:b/>
                <w:bCs/>
                <w:color w:val="000080"/>
              </w:rPr>
              <w:t>11.1.2.1</w:t>
            </w:r>
          </w:p>
        </w:tc>
        <w:tc>
          <w:tcPr>
            <w:tcW w:w="1178" w:type="dxa"/>
          </w:tcPr>
          <w:p>
            <w:pPr>
              <w:widowControl w:val="0"/>
              <w:tabs>
                <w:tab w:val="left" w:pos="-720"/>
              </w:tabs>
              <w:suppressAutoHyphens/>
              <w:spacing w:before="66" w:after="54"/>
              <w:rPr>
                <w:b/>
                <w:bCs/>
                <w:color w:val="000080"/>
              </w:rPr>
            </w:pPr>
            <w:r>
              <w:rPr>
                <w:rFonts w:hint="eastAsia"/>
                <w:b/>
                <w:bCs/>
                <w:color w:val="000080"/>
              </w:rPr>
              <w:t>向患者提供热量的应用部分</w:t>
            </w:r>
          </w:p>
        </w:tc>
        <w:tc>
          <w:tcPr>
            <w:tcW w:w="2835" w:type="dxa"/>
          </w:tcPr>
          <w:p>
            <w:pPr>
              <w:pStyle w:val="2"/>
              <w:spacing w:before="31" w:after="62"/>
              <w:rPr>
                <w:b/>
                <w:bCs/>
                <w:color w:val="000080"/>
                <w:spacing w:val="-2"/>
                <w:szCs w:val="20"/>
                <w:lang w:eastAsia="zh-CN"/>
              </w:rPr>
            </w:pPr>
            <w:r>
              <w:rPr>
                <w:rFonts w:hint="eastAsia"/>
                <w:b/>
                <w:bCs/>
                <w:color w:val="000080"/>
                <w:spacing w:val="-2"/>
                <w:szCs w:val="20"/>
                <w:lang w:eastAsia="zh-CN"/>
              </w:rPr>
              <w:t>温度</w:t>
            </w:r>
            <w:r>
              <w:rPr>
                <w:b/>
                <w:bCs/>
                <w:color w:val="000080"/>
                <w:spacing w:val="-2"/>
                <w:szCs w:val="20"/>
                <w:lang w:eastAsia="zh-CN"/>
              </w:rPr>
              <w:t>（</w:t>
            </w:r>
            <w:r>
              <w:rPr>
                <w:rFonts w:hint="eastAsia"/>
                <w:b/>
                <w:bCs/>
                <w:color w:val="000080"/>
                <w:spacing w:val="-2"/>
                <w:szCs w:val="20"/>
                <w:lang w:eastAsia="zh-CN"/>
              </w:rPr>
              <w:t>冷</w:t>
            </w:r>
            <w:r>
              <w:rPr>
                <w:b/>
                <w:bCs/>
                <w:color w:val="000080"/>
                <w:spacing w:val="-2"/>
                <w:szCs w:val="20"/>
                <w:lang w:eastAsia="zh-CN"/>
              </w:rPr>
              <w:t>或热）</w:t>
            </w:r>
            <w:r>
              <w:rPr>
                <w:rFonts w:hint="eastAsia"/>
                <w:b/>
                <w:bCs/>
                <w:color w:val="000080"/>
                <w:spacing w:val="-2"/>
                <w:szCs w:val="20"/>
                <w:lang w:eastAsia="zh-CN"/>
              </w:rPr>
              <w:t>或临床</w:t>
            </w:r>
            <w:r>
              <w:rPr>
                <w:b/>
                <w:bCs/>
                <w:color w:val="000080"/>
                <w:spacing w:val="-2"/>
                <w:szCs w:val="20"/>
                <w:lang w:eastAsia="zh-CN"/>
              </w:rPr>
              <w:t>效应</w:t>
            </w:r>
            <w:r>
              <w:rPr>
                <w:rFonts w:hint="eastAsia"/>
                <w:b/>
                <w:bCs/>
                <w:color w:val="000080"/>
                <w:spacing w:val="-2"/>
                <w:szCs w:val="20"/>
                <w:lang w:eastAsia="zh-CN"/>
              </w:rPr>
              <w:t>（如适用）应记录</w:t>
            </w:r>
            <w:r>
              <w:rPr>
                <w:b/>
                <w:bCs/>
                <w:color w:val="000080"/>
                <w:spacing w:val="-2"/>
                <w:szCs w:val="20"/>
                <w:lang w:eastAsia="zh-CN"/>
              </w:rPr>
              <w:t>在风险管理文档中</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rFonts w:hint="eastAsia"/>
                <w:b/>
                <w:bCs/>
                <w:color w:val="000080"/>
              </w:rPr>
            </w:pPr>
            <w:r>
              <w:rPr>
                <w:rFonts w:hint="eastAsia"/>
                <w:b/>
                <w:bCs/>
                <w:color w:val="000080"/>
              </w:rPr>
              <w:t>11.1.2.2</w:t>
            </w:r>
          </w:p>
          <w:p>
            <w:pPr>
              <w:widowControl w:val="0"/>
              <w:tabs>
                <w:tab w:val="left" w:pos="-720"/>
              </w:tabs>
              <w:suppressAutoHyphens/>
              <w:spacing w:before="66" w:after="54"/>
              <w:rPr>
                <w:b/>
                <w:bCs/>
                <w:color w:val="000080"/>
              </w:rPr>
            </w:pPr>
          </w:p>
        </w:tc>
        <w:tc>
          <w:tcPr>
            <w:tcW w:w="1178"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rFonts w:hint="eastAsia"/>
                <w:b/>
                <w:bCs/>
                <w:color w:val="000080"/>
              </w:rPr>
            </w:pPr>
            <w:r>
              <w:rPr>
                <w:rFonts w:hint="eastAsia"/>
                <w:b/>
                <w:bCs/>
                <w:color w:val="000080"/>
              </w:rPr>
              <w:t>不向患者提供热量的应用部分</w:t>
            </w:r>
          </w:p>
          <w:p>
            <w:pPr>
              <w:widowControl w:val="0"/>
              <w:tabs>
                <w:tab w:val="left" w:pos="-720"/>
              </w:tabs>
              <w:suppressAutoHyphens/>
              <w:spacing w:before="66" w:after="54"/>
              <w:rPr>
                <w:b/>
                <w:bCs/>
                <w:color w:val="000080"/>
              </w:rPr>
            </w:pP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应确定体表，患者发育程度，药物治疗或表面压力这些特征的临床影响，并记录在风险管理文档中。</w:t>
            </w:r>
          </w:p>
          <w:p>
            <w:pPr>
              <w:pStyle w:val="2"/>
              <w:spacing w:before="31" w:after="62"/>
              <w:rPr>
                <w:b/>
                <w:bCs/>
                <w:color w:val="000080"/>
                <w:spacing w:val="-2"/>
                <w:szCs w:val="20"/>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1178"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冷却</w:t>
            </w:r>
            <w:r>
              <w:rPr>
                <w:b/>
                <w:bCs/>
                <w:color w:val="000080"/>
                <w:spacing w:val="-2"/>
                <w:szCs w:val="20"/>
                <w:lang w:eastAsia="zh-CN"/>
              </w:rPr>
              <w:t>到</w:t>
            </w:r>
            <w:r>
              <w:rPr>
                <w:rFonts w:hint="eastAsia"/>
                <w:b/>
                <w:bCs/>
                <w:color w:val="000080"/>
                <w:spacing w:val="-2"/>
                <w:szCs w:val="20"/>
                <w:lang w:eastAsia="zh-CN"/>
              </w:rPr>
              <w:t>环境</w:t>
            </w:r>
            <w:r>
              <w:rPr>
                <w:b/>
                <w:bCs/>
                <w:color w:val="000080"/>
                <w:spacing w:val="-2"/>
                <w:szCs w:val="20"/>
                <w:lang w:eastAsia="zh-CN"/>
              </w:rPr>
              <w:t>温度以下</w:t>
            </w:r>
            <w:r>
              <w:rPr>
                <w:rFonts w:hint="eastAsia"/>
                <w:b/>
                <w:bCs/>
                <w:color w:val="000080"/>
                <w:spacing w:val="-2"/>
                <w:szCs w:val="20"/>
                <w:lang w:eastAsia="zh-CN"/>
              </w:rPr>
              <w:t>会导致</w:t>
            </w:r>
            <w:r>
              <w:rPr>
                <w:b/>
                <w:bCs/>
                <w:color w:val="000080"/>
                <w:spacing w:val="-2"/>
                <w:szCs w:val="20"/>
                <w:lang w:eastAsia="zh-CN"/>
              </w:rPr>
              <w:t>的风险</w:t>
            </w:r>
            <w:r>
              <w:rPr>
                <w:rFonts w:hint="eastAsia"/>
                <w:b/>
                <w:bCs/>
                <w:color w:val="000080"/>
                <w:spacing w:val="-2"/>
                <w:szCs w:val="20"/>
                <w:lang w:eastAsia="zh-CN"/>
              </w:rPr>
              <w:t>也应</w:t>
            </w:r>
            <w:r>
              <w:rPr>
                <w:b/>
                <w:bCs/>
                <w:color w:val="000080"/>
                <w:spacing w:val="-2"/>
                <w:szCs w:val="20"/>
                <w:lang w:eastAsia="zh-CN"/>
              </w:rPr>
              <w:t>在风险管理文档中评估记录。</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left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 xml:space="preserve">11.1.3 </w:t>
            </w:r>
          </w:p>
        </w:tc>
        <w:tc>
          <w:tcPr>
            <w:tcW w:w="1178"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测量</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当制造商通过工程判断表明温度</w:t>
            </w:r>
            <w:r>
              <w:rPr>
                <w:rFonts w:hint="eastAsia"/>
                <w:b/>
                <w:bCs/>
                <w:color w:val="000080"/>
                <w:spacing w:val="-2"/>
                <w:szCs w:val="20"/>
                <w:lang w:val="en-US" w:eastAsia="zh-CN"/>
              </w:rPr>
              <w:t>限值</w:t>
            </w:r>
            <w:r>
              <w:rPr>
                <w:rFonts w:hint="eastAsia"/>
                <w:b/>
                <w:bCs/>
                <w:color w:val="000080"/>
                <w:spacing w:val="-2"/>
                <w:szCs w:val="20"/>
                <w:lang w:eastAsia="zh-CN"/>
              </w:rPr>
              <w:t>不会</w:t>
            </w:r>
            <w:r>
              <w:rPr>
                <w:b/>
                <w:bCs/>
                <w:color w:val="000080"/>
                <w:spacing w:val="-2"/>
                <w:szCs w:val="20"/>
                <w:lang w:eastAsia="zh-CN"/>
              </w:rPr>
              <w:t>被</w:t>
            </w:r>
            <w:r>
              <w:rPr>
                <w:rFonts w:hint="eastAsia"/>
                <w:b/>
                <w:bCs/>
                <w:color w:val="000080"/>
                <w:spacing w:val="-2"/>
                <w:szCs w:val="20"/>
                <w:lang w:eastAsia="zh-CN"/>
              </w:rPr>
              <w:t>超过而未进行测量，应在风险管理文件中</w:t>
            </w:r>
            <w:r>
              <w:rPr>
                <w:b/>
                <w:bCs/>
                <w:color w:val="000080"/>
                <w:spacing w:val="-2"/>
                <w:szCs w:val="20"/>
                <w:lang w:eastAsia="zh-CN"/>
              </w:rPr>
              <w:t>记录</w:t>
            </w:r>
            <w:r>
              <w:rPr>
                <w:rFonts w:hint="eastAsia"/>
                <w:b/>
                <w:bCs/>
                <w:color w:val="000080"/>
                <w:spacing w:val="-2"/>
                <w:szCs w:val="20"/>
                <w:lang w:eastAsia="zh-CN"/>
              </w:rPr>
              <w:t>。</w:t>
            </w:r>
          </w:p>
          <w:p>
            <w:pPr>
              <w:pStyle w:val="2"/>
              <w:spacing w:before="31" w:after="62"/>
              <w:rPr>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1178"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当通过工程</w:t>
            </w:r>
            <w:r>
              <w:rPr>
                <w:b/>
                <w:bCs/>
                <w:color w:val="000080"/>
                <w:spacing w:val="-2"/>
                <w:szCs w:val="20"/>
                <w:lang w:eastAsia="zh-CN"/>
              </w:rPr>
              <w:t>判断</w:t>
            </w:r>
            <w:r>
              <w:rPr>
                <w:rFonts w:hint="eastAsia"/>
                <w:b/>
                <w:bCs/>
                <w:color w:val="000080"/>
                <w:spacing w:val="-2"/>
                <w:szCs w:val="20"/>
                <w:lang w:eastAsia="zh-CN"/>
              </w:rPr>
              <w:t>表明试验角不会影响测量，判定的论据应记录在风险管理文档中。</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1178" w:type="dxa"/>
            <w:vMerge w:val="continue"/>
            <w:tcBorders>
              <w:left w:val="single" w:color="auto" w:sz="4" w:space="0"/>
              <w:right w:val="single" w:color="auto" w:sz="4" w:space="0"/>
            </w:tcBorders>
          </w:tcPr>
          <w:p>
            <w:pPr>
              <w:widowControl w:val="0"/>
              <w:tabs>
                <w:tab w:val="left" w:pos="-720"/>
              </w:tabs>
              <w:suppressAutoHyphens/>
              <w:spacing w:before="66" w:after="54"/>
              <w:rPr>
                <w:b/>
                <w:bCs/>
                <w:color w:val="000080"/>
              </w:rPr>
            </w:pP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对于可能被触及的</w:t>
            </w:r>
            <w:r>
              <w:rPr>
                <w:rFonts w:hint="eastAsia"/>
                <w:b/>
                <w:bCs/>
                <w:color w:val="000080"/>
                <w:spacing w:val="-2"/>
                <w:szCs w:val="20"/>
                <w:lang w:val="en-US" w:eastAsia="zh-CN"/>
              </w:rPr>
              <w:t>ME设备</w:t>
            </w:r>
            <w:r>
              <w:rPr>
                <w:rFonts w:hint="eastAsia"/>
                <w:b/>
                <w:bCs/>
                <w:color w:val="000080"/>
                <w:spacing w:val="-2"/>
                <w:szCs w:val="20"/>
                <w:lang w:eastAsia="zh-CN"/>
              </w:rPr>
              <w:t>部件和</w:t>
            </w:r>
            <w:r>
              <w:rPr>
                <w:rFonts w:hint="eastAsia"/>
                <w:b/>
                <w:bCs/>
                <w:color w:val="000080"/>
                <w:spacing w:val="-2"/>
                <w:szCs w:val="20"/>
                <w:lang w:val="en-US" w:eastAsia="zh-CN"/>
              </w:rPr>
              <w:t>应用部分</w:t>
            </w:r>
            <w:r>
              <w:rPr>
                <w:rFonts w:hint="eastAsia"/>
                <w:b/>
                <w:bCs/>
                <w:color w:val="000080"/>
                <w:spacing w:val="-2"/>
                <w:szCs w:val="20"/>
                <w:lang w:eastAsia="zh-CN"/>
              </w:rPr>
              <w:t>，接触发生的概率和接触的持续时间应确定并记录在</w:t>
            </w:r>
            <w:r>
              <w:rPr>
                <w:rFonts w:hint="eastAsia"/>
                <w:b/>
                <w:bCs/>
                <w:color w:val="000080"/>
                <w:spacing w:val="-2"/>
                <w:szCs w:val="20"/>
                <w:lang w:val="en-US" w:eastAsia="zh-CN"/>
              </w:rPr>
              <w:t>风险管理文档</w:t>
            </w:r>
            <w:r>
              <w:rPr>
                <w:rFonts w:hint="eastAsia"/>
                <w:b/>
                <w:bCs/>
                <w:color w:val="000080"/>
                <w:spacing w:val="-2"/>
                <w:szCs w:val="20"/>
                <w:lang w:eastAsia="zh-CN"/>
              </w:rPr>
              <w:t>中。</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11.2.2.1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富氧环境中的着火危险</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rPr>
              <w:t>基于氧浓度较低或易燃性较低的燃料，与上述4）和5）中最坏情况限制的偏差在风险管理文件中得到证明和记录</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11.2.2.1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富氧环境中的着火危险</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rPr>
              <w:t>通过应用风险管理流程确定富氧环境中的剩余火灾风险基于以下配置或组合</w:t>
            </w:r>
            <w:r>
              <w:rPr>
                <w:rFonts w:hint="eastAsia"/>
                <w:b/>
                <w:bCs/>
                <w:color w:val="000080"/>
                <w:spacing w:val="-2"/>
                <w:lang w:eastAsia="zh-CN"/>
              </w:rPr>
              <w:t>。</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spacing w:val="-2"/>
                <w:lang w:val="en-US" w:eastAsia="zh-CN"/>
              </w:rPr>
              <w:t>*</w:t>
            </w:r>
            <w:r>
              <w:rPr>
                <w:rFonts w:hint="eastAsia"/>
                <w:b/>
                <w:bCs/>
                <w:color w:val="000080"/>
              </w:rPr>
              <w:t>11.3</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ME设备防火外壳的结构要求</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rPr>
              <w:t>本条款给出了符合13.1.2中定义的所选危险情况和故障状态的替代方法。在这种情况下，应满足以下结构要求，或者在风险管理文档中进行特别分析，同时，如果未满足如下的结构要求时，也应在风险管理文档中进行特别论证</w:t>
            </w:r>
            <w:r>
              <w:rPr>
                <w:rFonts w:hint="eastAsia"/>
                <w:b/>
                <w:bCs/>
                <w:color w:val="000080"/>
                <w:spacing w:val="-2"/>
                <w:szCs w:val="20"/>
                <w:lang w:eastAsia="zh-CN"/>
              </w:rPr>
              <w:t>。</w:t>
            </w:r>
          </w:p>
          <w:p>
            <w:pPr>
              <w:rPr>
                <w:b/>
                <w:bCs/>
                <w:color w:val="000080"/>
                <w:spacing w:val="-2"/>
                <w:lang w:eastAsia="zh-CN"/>
              </w:rPr>
            </w:pPr>
            <w:r>
              <w:rPr>
                <w:rFonts w:hint="eastAsia"/>
                <w:b/>
                <w:bCs/>
                <w:color w:val="000080"/>
                <w:spacing w:val="-2"/>
                <w:sz w:val="16"/>
                <w:szCs w:val="16"/>
                <w:lang w:val="en-US" w:eastAsia="zh-CN"/>
              </w:rPr>
              <w:t>注：检查设备及风险管理过程为符合条款 13.1.2，是否采用了本条款中的特别要求。若采用，制造商需分析和解决未符合结构要求的风险，并说明提供了同等程度的风险/收益。</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11.5</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预期使用易燃剂的ME设备和系统</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制造商的风险管理过程应考虑着火的可能性和相应的消除措施。</w:t>
            </w:r>
          </w:p>
          <w:p>
            <w:pPr>
              <w:rPr>
                <w:b/>
                <w:bCs/>
                <w:color w:val="000080"/>
                <w:spacing w:val="-2"/>
                <w:lang w:eastAsia="zh-CN"/>
              </w:rPr>
            </w:pPr>
            <w:r>
              <w:rPr>
                <w:rFonts w:hint="eastAsia"/>
                <w:b/>
                <w:bCs/>
                <w:color w:val="000080"/>
                <w:spacing w:val="-2"/>
                <w:sz w:val="16"/>
                <w:szCs w:val="16"/>
                <w:lang w:val="en-US" w:eastAsia="zh-CN"/>
              </w:rPr>
              <w:t>注：</w:t>
            </w:r>
            <w:r>
              <w:rPr>
                <w:rFonts w:hint="eastAsia"/>
                <w:b/>
                <w:bCs/>
                <w:color w:val="000080"/>
                <w:spacing w:val="-2"/>
                <w:sz w:val="16"/>
                <w:szCs w:val="16"/>
                <w:lang w:eastAsia="zh-CN"/>
              </w:rPr>
              <w:t>风险管理过程</w:t>
            </w:r>
            <w:r>
              <w:rPr>
                <w:rFonts w:hint="eastAsia"/>
                <w:b/>
                <w:bCs/>
                <w:color w:val="000080"/>
                <w:spacing w:val="-2"/>
                <w:sz w:val="16"/>
                <w:szCs w:val="16"/>
                <w:lang w:val="en-US" w:eastAsia="zh-CN"/>
              </w:rPr>
              <w:t>应识别</w:t>
            </w:r>
            <w:r>
              <w:rPr>
                <w:rFonts w:hint="eastAsia"/>
                <w:b/>
                <w:bCs/>
                <w:color w:val="000080"/>
                <w:spacing w:val="-2"/>
                <w:sz w:val="16"/>
                <w:szCs w:val="16"/>
              </w:rPr>
              <w:t>ME 设备预期（或可能通过可预见的误用）接触易燃药剂</w:t>
            </w:r>
            <w:r>
              <w:rPr>
                <w:rFonts w:hint="eastAsia"/>
                <w:b/>
                <w:bCs/>
                <w:color w:val="000080"/>
                <w:spacing w:val="-2"/>
                <w:sz w:val="16"/>
                <w:szCs w:val="16"/>
                <w:lang w:val="en-US" w:eastAsia="zh-CN"/>
              </w:rPr>
              <w:t>的风险。</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spacing w:val="-2"/>
                <w:lang w:val="en-US" w:eastAsia="zh-CN"/>
              </w:rPr>
              <w:t>*</w:t>
            </w:r>
            <w:r>
              <w:rPr>
                <w:rFonts w:hint="eastAsia"/>
                <w:b/>
                <w:bCs/>
                <w:color w:val="000080"/>
              </w:rPr>
              <w:t>11.6.3</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ME设备和ME系统的液体泼洒</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在正常使用时需要处理液体的ME设备和ME系统，构造应使得液体泼洒不会弄湿可能导致基本安全或基本性能失效的部件，通过检查</w:t>
            </w:r>
            <w:r>
              <w:rPr>
                <w:b/>
                <w:bCs/>
                <w:color w:val="000080"/>
                <w:spacing w:val="-2"/>
                <w:szCs w:val="20"/>
                <w:lang w:eastAsia="zh-CN"/>
              </w:rPr>
              <w:t>风险管理</w:t>
            </w:r>
            <w:r>
              <w:rPr>
                <w:rFonts w:hint="eastAsia"/>
                <w:b/>
                <w:bCs/>
                <w:color w:val="000080"/>
                <w:spacing w:val="-2"/>
                <w:szCs w:val="20"/>
                <w:lang w:eastAsia="zh-CN"/>
              </w:rPr>
              <w:t>文件和</w:t>
            </w:r>
            <w:r>
              <w:rPr>
                <w:b/>
                <w:bCs/>
                <w:color w:val="000080"/>
                <w:spacing w:val="-2"/>
                <w:szCs w:val="20"/>
                <w:lang w:eastAsia="zh-CN"/>
              </w:rPr>
              <w:t>测试确认。</w:t>
            </w:r>
          </w:p>
          <w:p>
            <w:pPr>
              <w:rPr>
                <w:b/>
                <w:bCs/>
                <w:color w:val="000080"/>
                <w:spacing w:val="-2"/>
                <w:lang w:eastAsia="zh-CN"/>
              </w:rPr>
            </w:pPr>
            <w:r>
              <w:rPr>
                <w:rFonts w:hint="eastAsia"/>
                <w:b/>
                <w:bCs/>
                <w:color w:val="000080"/>
                <w:spacing w:val="-2"/>
                <w:sz w:val="16"/>
                <w:szCs w:val="16"/>
                <w:lang w:val="en-US" w:eastAsia="zh-CN"/>
              </w:rPr>
              <w:t>注：若正常使用或合理可预见误用时需要处理液体，液体类型，体积，倾倒时间和位置（点）通过风险分析来确定。模拟液体泼洒的最坏情况的试验条件应记录在风险管理文档中。</w:t>
            </w:r>
          </w:p>
          <w:p>
            <w:pPr>
              <w:rPr>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11.6.6</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ME设备和ME系统的清洗和消毒</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lang w:eastAsia="zh-CN"/>
              </w:rPr>
            </w:pPr>
            <w:r>
              <w:rPr>
                <w:rFonts w:hint="eastAsia"/>
                <w:b/>
                <w:bCs/>
                <w:color w:val="000080"/>
                <w:spacing w:val="-2"/>
                <w:szCs w:val="20"/>
                <w:lang w:eastAsia="zh-CN"/>
              </w:rPr>
              <w:t>制造商应评估ME设备，ME系统及其部件和附件在预期使用寿命期间内多次按使用说明书规定的清洗/消毒的影响，并确保这些过程不会导致基本安全或基本性能的丧失。</w:t>
            </w:r>
          </w:p>
          <w:p>
            <w:pPr>
              <w:pStyle w:val="2"/>
              <w:spacing w:before="31" w:after="62"/>
              <w:rPr>
                <w:b/>
                <w:bCs/>
                <w:color w:val="000080"/>
                <w:spacing w:val="-2"/>
                <w:szCs w:val="20"/>
              </w:rPr>
            </w:pPr>
            <w:r>
              <w:rPr>
                <w:rFonts w:hint="eastAsia"/>
                <w:b/>
                <w:bCs/>
                <w:color w:val="000080"/>
                <w:spacing w:val="-2"/>
                <w:sz w:val="16"/>
                <w:szCs w:val="16"/>
                <w:lang w:val="en-US" w:eastAsia="zh-CN"/>
              </w:rPr>
              <w:t>注：</w:t>
            </w:r>
            <w:r>
              <w:rPr>
                <w:rFonts w:hint="eastAsia"/>
                <w:b/>
                <w:bCs/>
                <w:color w:val="000080"/>
                <w:spacing w:val="-2"/>
                <w:sz w:val="16"/>
                <w:szCs w:val="16"/>
                <w:lang w:eastAsia="zh-CN"/>
              </w:rPr>
              <w:t>检查风险管理文档以核实制造商已经评估多次清洗的影响。</w:t>
            </w:r>
          </w:p>
        </w:tc>
        <w:tc>
          <w:tcPr>
            <w:tcW w:w="3110" w:type="dxa"/>
            <w:tcBorders>
              <w:top w:val="single" w:color="auto" w:sz="4" w:space="0"/>
              <w:left w:val="single" w:color="auto" w:sz="4" w:space="0"/>
              <w:bottom w:val="single" w:color="auto" w:sz="4" w:space="0"/>
              <w:right w:val="single" w:color="auto" w:sz="4" w:space="0"/>
            </w:tcBorders>
          </w:tcPr>
          <w:p>
            <w:pPr>
              <w:pStyle w:val="6"/>
              <w:rPr>
                <w:smallCaps/>
                <w:color w:val="000080"/>
                <w:lang w:eastAsia="zh-CN"/>
              </w:rPr>
            </w:pPr>
            <w:r>
              <w:rPr>
                <w:rFonts w:hint="eastAsia"/>
                <w:smallCaps/>
                <w:color w:val="000080"/>
                <w:lang w:eastAsia="zh-CN"/>
              </w:rPr>
              <w:t xml:space="preserve">风险管理文档中识别到的风险：  </w:t>
            </w:r>
          </w:p>
          <w:p>
            <w:pPr>
              <w:pStyle w:val="6"/>
              <w:rPr>
                <w:smallCaps/>
                <w:color w:val="000080"/>
                <w:lang w:eastAsia="zh-CN"/>
              </w:rPr>
            </w:pP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11.6.7</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ME设备和ME系统的灭菌</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rPr>
              <w:t>风险管理文件包括对灭菌后任何劣化相关风险的评估</w:t>
            </w:r>
            <w:r>
              <w:rPr>
                <w:rFonts w:hint="eastAsia"/>
                <w:b/>
                <w:bCs/>
                <w:color w:val="000080"/>
                <w:spacing w:val="-2"/>
                <w:lang w:eastAsia="zh-CN"/>
              </w:rPr>
              <w:t>。</w:t>
            </w:r>
          </w:p>
          <w:p>
            <w:pPr>
              <w:rPr>
                <w:lang w:val="en-US"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11.6.8</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ME设备所用材料的相容性</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风险管理过程应记录涉及到与医用电气设备使用的材料相容性相关的风险</w:t>
            </w:r>
          </w:p>
          <w:p>
            <w:pPr>
              <w:pStyle w:val="2"/>
              <w:spacing w:before="31" w:after="62"/>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控制器和仪表的准确性</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适用时，制造商应在风险管理过程中考虑与控制器和仪器准确性相关的风险。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有意超过安全限制</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适用时，制造商应在风险管理过程中考虑与有意超过安全限制而产生的危险输出相关的风险。</w:t>
            </w:r>
          </w:p>
          <w:p>
            <w:pPr>
              <w:pStyle w:val="2"/>
              <w:spacing w:before="31" w:after="62"/>
              <w:rPr>
                <w:b/>
                <w:bCs/>
                <w:color w:val="000080"/>
                <w:spacing w:val="-2"/>
                <w:szCs w:val="20"/>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12.4.2</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有关安全的指示</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适用时，制造商应在风险管理过程中考虑指示任何危险输出的需要</w:t>
            </w:r>
            <w:r>
              <w:rPr>
                <w:rFonts w:hint="eastAsia"/>
                <w:b/>
                <w:bCs/>
                <w:color w:val="000080"/>
                <w:spacing w:val="-2"/>
                <w:lang w:eastAsia="zh-CN"/>
              </w:rPr>
              <w:tab/>
            </w:r>
            <w:r>
              <w:rPr>
                <w:rFonts w:hint="eastAsia"/>
                <w:b/>
                <w:bCs/>
                <w:color w:val="000080"/>
                <w:spacing w:val="-2"/>
                <w:lang w:eastAsia="zh-CN"/>
              </w:rPr>
              <w:t>。</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12.4.3</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过量输出值的意外选择</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制造商应在风险管理过程中考虑意外的选成过量输出值的风险。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12.4.4</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不正确的输出</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适用时，制造商应在风险管理过程中考虑与不正确的输出相关的风险。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12.4.5.3</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放射治疗设备</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适用时，制造商应在风险管理过程中考虑与放射治疗相关的风险。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12.4.5.4</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产生诊断或治疗辐射的其他ME设备</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适用时，制造商应在风险管理过程中考虑不是X射线诊断和放射治疗，但产生用于诊断或治疗辐射的ME设备相关的风险（见12.4.5.2和12.4.5.3）。</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rPr>
              <w:t>12.4.6</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rPr>
              <w:t>诊断或治疗用声压</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适用时，制造商应在风险管理过程中考虑与诊断或治疗用声压相关的风险。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spacing w:val="-2"/>
                <w:lang w:val="en-US" w:eastAsia="zh-CN"/>
              </w:rPr>
              <w:t>*</w:t>
            </w:r>
            <w:r>
              <w:rPr>
                <w:rFonts w:hint="eastAsia"/>
                <w:b/>
                <w:bCs/>
                <w:color w:val="000080"/>
                <w:lang w:eastAsia="zh-CN"/>
              </w:rPr>
              <w:t>13.2.6</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液体泄漏</w:t>
            </w:r>
          </w:p>
        </w:tc>
        <w:tc>
          <w:tcPr>
            <w:tcW w:w="2835" w:type="dxa"/>
            <w:tcBorders>
              <w:top w:val="single" w:color="auto" w:sz="4" w:space="0"/>
              <w:left w:val="single" w:color="auto" w:sz="4" w:space="0"/>
              <w:bottom w:val="single" w:color="auto" w:sz="4" w:space="0"/>
              <w:right w:val="single" w:color="auto" w:sz="4" w:space="0"/>
            </w:tcBorders>
          </w:tcPr>
          <w:p>
            <w:pPr>
              <w:pStyle w:val="2"/>
              <w:spacing w:before="31" w:after="62"/>
              <w:rPr>
                <w:b/>
                <w:bCs/>
                <w:color w:val="000080"/>
                <w:spacing w:val="-2"/>
                <w:szCs w:val="20"/>
              </w:rPr>
            </w:pPr>
            <w:r>
              <w:rPr>
                <w:rFonts w:hint="eastAsia"/>
                <w:b/>
                <w:bCs/>
                <w:color w:val="000080"/>
                <w:spacing w:val="-2"/>
                <w:szCs w:val="20"/>
                <w:lang w:eastAsia="zh-CN"/>
              </w:rPr>
              <w:t>如</w:t>
            </w:r>
            <w:r>
              <w:rPr>
                <w:b/>
                <w:bCs/>
                <w:color w:val="000080"/>
                <w:spacing w:val="-2"/>
                <w:szCs w:val="20"/>
                <w:lang w:eastAsia="zh-CN"/>
              </w:rPr>
              <w:t>适用，</w:t>
            </w:r>
            <w:r>
              <w:rPr>
                <w:rFonts w:hint="eastAsia"/>
                <w:b/>
                <w:bCs/>
                <w:color w:val="000080"/>
                <w:spacing w:val="-2"/>
                <w:szCs w:val="20"/>
                <w:lang w:val="en-US" w:eastAsia="zh-CN"/>
              </w:rPr>
              <w:t>风险管理文件应包含液体泄漏相关的风险评估，</w:t>
            </w:r>
            <w:r>
              <w:rPr>
                <w:b/>
                <w:bCs/>
                <w:color w:val="000080"/>
                <w:spacing w:val="-2"/>
                <w:szCs w:val="20"/>
                <w:lang w:eastAsia="zh-CN"/>
              </w:rPr>
              <w:t>应</w:t>
            </w:r>
            <w:r>
              <w:rPr>
                <w:rFonts w:hint="eastAsia"/>
                <w:b/>
                <w:bCs/>
                <w:color w:val="000080"/>
                <w:spacing w:val="-2"/>
                <w:szCs w:val="20"/>
                <w:lang w:eastAsia="zh-CN"/>
              </w:rPr>
              <w:t>确定ME</w:t>
            </w:r>
            <w:r>
              <w:rPr>
                <w:b/>
                <w:bCs/>
                <w:color w:val="000080"/>
                <w:spacing w:val="-2"/>
                <w:szCs w:val="20"/>
                <w:lang w:eastAsia="zh-CN"/>
              </w:rPr>
              <w:t>设备适当</w:t>
            </w:r>
            <w:r>
              <w:rPr>
                <w:rFonts w:hint="eastAsia"/>
                <w:b/>
                <w:bCs/>
                <w:color w:val="000080"/>
                <w:spacing w:val="-2"/>
                <w:szCs w:val="20"/>
                <w:lang w:eastAsia="zh-CN"/>
              </w:rPr>
              <w:t>的</w:t>
            </w:r>
            <w:r>
              <w:rPr>
                <w:b/>
                <w:bCs/>
                <w:color w:val="000080"/>
                <w:spacing w:val="-2"/>
                <w:szCs w:val="20"/>
                <w:lang w:eastAsia="zh-CN"/>
              </w:rPr>
              <w:t>试验条件</w:t>
            </w:r>
            <w:r>
              <w:rPr>
                <w:rFonts w:hint="eastAsia"/>
                <w:b/>
                <w:bCs/>
                <w:color w:val="000080"/>
                <w:spacing w:val="-2"/>
                <w:szCs w:val="20"/>
                <w:lang w:eastAsia="zh-CN"/>
              </w:rPr>
              <w:t>。</w:t>
            </w:r>
          </w:p>
        </w:tc>
        <w:tc>
          <w:tcPr>
            <w:tcW w:w="3110" w:type="dxa"/>
            <w:tcBorders>
              <w:top w:val="single" w:color="auto" w:sz="4" w:space="0"/>
              <w:left w:val="single" w:color="auto" w:sz="4" w:space="0"/>
              <w:bottom w:val="single" w:color="auto" w:sz="4" w:space="0"/>
              <w:right w:val="single" w:color="auto" w:sz="4" w:space="0"/>
            </w:tcBorders>
          </w:tcPr>
          <w:p>
            <w:pPr>
              <w:pStyle w:val="6"/>
              <w:rPr>
                <w:smallCaps/>
                <w:color w:val="000080"/>
                <w:lang w:eastAsia="zh-CN"/>
              </w:rPr>
            </w:pPr>
            <w:r>
              <w:rPr>
                <w:rFonts w:hint="eastAsia"/>
                <w:smallCaps/>
                <w:color w:val="000080"/>
                <w:lang w:eastAsia="zh-CN"/>
              </w:rPr>
              <w:t xml:space="preserve">风险管理文档中识别到的风险：  </w:t>
            </w:r>
          </w:p>
          <w:p>
            <w:pPr>
              <w:pStyle w:val="6"/>
              <w:rPr>
                <w:smallCaps/>
                <w:color w:val="000080"/>
              </w:rPr>
            </w:pP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spacing w:val="-2"/>
                <w:lang w:val="en-US" w:eastAsia="zh-CN"/>
              </w:rPr>
              <w:t>*</w:t>
            </w:r>
            <w:r>
              <w:rPr>
                <w:rFonts w:hint="eastAsia"/>
                <w:b/>
                <w:bCs/>
                <w:color w:val="000080"/>
                <w:lang w:eastAsia="zh-CN"/>
              </w:rPr>
              <w:t>14.1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可编程医用电气系统-概述</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风险管理文件</w:t>
            </w:r>
            <w:r>
              <w:rPr>
                <w:b/>
                <w:bCs/>
                <w:color w:val="000080"/>
                <w:spacing w:val="-2"/>
                <w:lang w:eastAsia="zh-CN"/>
              </w:rPr>
              <w:t>应包含</w:t>
            </w:r>
            <w:r>
              <w:rPr>
                <w:rFonts w:hint="eastAsia"/>
                <w:b/>
                <w:bCs/>
                <w:color w:val="000080"/>
                <w:spacing w:val="-2"/>
                <w:lang w:eastAsia="zh-CN"/>
              </w:rPr>
              <w:t>PESS失效</w:t>
            </w:r>
            <w:r>
              <w:rPr>
                <w:b/>
                <w:bCs/>
                <w:color w:val="000080"/>
                <w:spacing w:val="-2"/>
                <w:lang w:eastAsia="zh-CN"/>
              </w:rPr>
              <w:t>相关风险的评估。</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14.6.1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已知和可预见危险的识别</w:t>
            </w:r>
          </w:p>
        </w:tc>
        <w:tc>
          <w:tcPr>
            <w:tcW w:w="2835" w:type="dxa"/>
            <w:tcBorders>
              <w:top w:val="single" w:color="auto" w:sz="4" w:space="0"/>
              <w:left w:val="single" w:color="auto" w:sz="4" w:space="0"/>
              <w:bottom w:val="single" w:color="auto" w:sz="4" w:space="0"/>
              <w:right w:val="single" w:color="auto" w:sz="4" w:space="0"/>
            </w:tcBorders>
          </w:tcPr>
          <w:p>
            <w:pPr>
              <w:rPr>
                <w:rFonts w:hint="default"/>
                <w:b/>
                <w:bCs/>
                <w:color w:val="000080"/>
                <w:spacing w:val="-2"/>
                <w:lang w:val="en-US" w:eastAsia="zh-CN"/>
              </w:rPr>
            </w:pPr>
            <w:r>
              <w:rPr>
                <w:rFonts w:hint="eastAsia"/>
                <w:b/>
                <w:bCs/>
                <w:color w:val="000080"/>
                <w:spacing w:val="-2"/>
                <w:lang w:eastAsia="zh-CN"/>
              </w:rPr>
              <w:t>风险管理文件包括与软件、硬件、将PEMS纳入IT网络、第三方来源组件和遗留子系统相关的已知或可预见的危险</w:t>
            </w:r>
            <w:r>
              <w:rPr>
                <w:rFonts w:hint="eastAsia"/>
                <w:b/>
                <w:bCs/>
                <w:color w:val="000080"/>
                <w:spacing w:val="-2"/>
                <w:lang w:val="en-US" w:eastAsia="zh-CN"/>
              </w:rPr>
              <w:t>评估。</w:t>
            </w:r>
          </w:p>
          <w:p>
            <w:pPr>
              <w:rPr>
                <w:b/>
                <w:bCs/>
                <w:color w:val="000080"/>
                <w:spacing w:val="-2"/>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Cl.4.3</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14.6.2</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风险控制</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风险管理文件应记录验证每个风险控制措施的工具和程序的适用性。</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Cl.6.1</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14.7</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需求规格说明</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系统或者子系统的需求规格说明，应包含并区分由其自身实施的任何基本性能和任何风险控制措施。</w:t>
            </w:r>
          </w:p>
          <w:p>
            <w:pPr>
              <w:rPr>
                <w:b/>
                <w:bCs/>
                <w:color w:val="000080"/>
                <w:spacing w:val="-2"/>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Cl.6.3</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14.8</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体系结构</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对于PEMS及其各子系统，应明确规定符合需求规格说明的体系结构。</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Cl.6.3</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8" w:hRule="atLeast"/>
          <w:jc w:val="center"/>
        </w:trPr>
        <w:tc>
          <w:tcPr>
            <w:tcW w:w="725" w:type="dxa"/>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14.10</w:t>
            </w:r>
          </w:p>
        </w:tc>
        <w:tc>
          <w:tcPr>
            <w:tcW w:w="1178" w:type="dxa"/>
            <w:tcBorders>
              <w:top w:val="single" w:color="auto" w:sz="4" w:space="0"/>
              <w:left w:val="single" w:color="auto" w:sz="4" w:space="0"/>
              <w:right w:val="single" w:color="auto" w:sz="4" w:space="0"/>
            </w:tcBorders>
          </w:tcPr>
          <w:p>
            <w:pPr>
              <w:widowControl w:val="0"/>
              <w:tabs>
                <w:tab w:val="left" w:pos="-720"/>
              </w:tabs>
              <w:suppressAutoHyphens/>
              <w:spacing w:before="66" w:after="54"/>
            </w:pPr>
            <w:r>
              <w:rPr>
                <w:rFonts w:hint="eastAsia"/>
                <w:b/>
                <w:bCs/>
                <w:color w:val="000080"/>
                <w:lang w:eastAsia="zh-CN"/>
              </w:rPr>
              <w:t>验证</w:t>
            </w:r>
          </w:p>
        </w:tc>
        <w:tc>
          <w:tcPr>
            <w:tcW w:w="2835" w:type="dxa"/>
            <w:tcBorders>
              <w:top w:val="single" w:color="auto" w:sz="4" w:space="0"/>
              <w:left w:val="single" w:color="auto" w:sz="4" w:space="0"/>
              <w:right w:val="single" w:color="auto" w:sz="4" w:space="0"/>
            </w:tcBorders>
          </w:tcPr>
          <w:p>
            <w:pPr>
              <w:rPr>
                <w:b/>
                <w:bCs/>
                <w:color w:val="000080"/>
                <w:spacing w:val="-2"/>
                <w:lang w:eastAsia="zh-CN"/>
              </w:rPr>
            </w:pPr>
            <w:r>
              <w:rPr>
                <w:rFonts w:hint="eastAsia"/>
                <w:b/>
                <w:bCs/>
                <w:color w:val="000080"/>
                <w:spacing w:val="-2"/>
                <w:lang w:eastAsia="zh-CN"/>
              </w:rPr>
              <w:t>包含用于验证和记录实现基本安全、基本性能或风险控制措施的功能的验证计划。</w:t>
            </w:r>
          </w:p>
          <w:p>
            <w:pPr>
              <w:pStyle w:val="2"/>
              <w:spacing w:before="31" w:after="62"/>
              <w:rPr>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Cl.6.3</w:t>
            </w:r>
            <w:r>
              <w:rPr>
                <w:rFonts w:hint="eastAsia"/>
                <w:b/>
                <w:bCs/>
                <w:color w:val="000080"/>
                <w:spacing w:val="-2"/>
                <w:sz w:val="18"/>
                <w:szCs w:val="16"/>
                <w:lang w:val="en-US" w:eastAsia="zh-CN"/>
              </w:rPr>
              <w:t>)</w:t>
            </w:r>
          </w:p>
        </w:tc>
        <w:tc>
          <w:tcPr>
            <w:tcW w:w="3110" w:type="dxa"/>
            <w:tcBorders>
              <w:top w:val="single" w:color="auto" w:sz="4" w:space="0"/>
              <w:left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14.11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PEMS确认</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风险管理文档中应记录PEMS确认组成员和设计组成员之间的所有专业关系。</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Cl.6.3</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4" w:hRule="atLeast"/>
          <w:jc w:val="center"/>
        </w:trPr>
        <w:tc>
          <w:tcPr>
            <w:tcW w:w="725"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14.13</w:t>
            </w:r>
          </w:p>
        </w:tc>
        <w:tc>
          <w:tcPr>
            <w:tcW w:w="1178" w:type="dxa"/>
            <w:vMerge w:val="restart"/>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通过接入IT-网络的PEMS</w:t>
            </w:r>
          </w:p>
        </w:tc>
        <w:tc>
          <w:tcPr>
            <w:tcW w:w="2835" w:type="dxa"/>
            <w:tcBorders>
              <w:top w:val="single" w:color="auto" w:sz="4" w:space="0"/>
              <w:left w:val="single" w:color="auto" w:sz="4" w:space="0"/>
              <w:right w:val="single" w:color="auto" w:sz="4" w:space="0"/>
            </w:tcBorders>
          </w:tcPr>
          <w:p>
            <w:pPr>
              <w:rPr>
                <w:b/>
                <w:bCs/>
                <w:color w:val="000080"/>
                <w:spacing w:val="-2"/>
                <w:lang w:eastAsia="zh-CN"/>
              </w:rPr>
            </w:pPr>
            <w:r>
              <w:rPr>
                <w:rFonts w:hint="eastAsia"/>
                <w:b/>
                <w:bCs/>
                <w:color w:val="000080"/>
                <w:spacing w:val="-2"/>
                <w:lang w:val="en-US" w:eastAsia="zh-CN"/>
              </w:rPr>
              <w:t>风险管理文件中应包含PEMS由于接入IT网络所带来的风险评估。</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 xml:space="preserve">15.4.1 </w:t>
            </w:r>
          </w:p>
        </w:tc>
        <w:tc>
          <w:tcPr>
            <w:tcW w:w="1178" w:type="dxa"/>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连接器的构造</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当不使用</w:t>
            </w:r>
            <w:r>
              <w:rPr>
                <w:b/>
                <w:bCs/>
                <w:color w:val="000080"/>
                <w:spacing w:val="-2"/>
                <w:lang w:eastAsia="zh-CN"/>
              </w:rPr>
              <w:t>工具即可</w:t>
            </w:r>
            <w:r>
              <w:rPr>
                <w:rFonts w:hint="eastAsia"/>
                <w:b/>
                <w:bCs/>
                <w:color w:val="000080"/>
                <w:spacing w:val="-2"/>
                <w:lang w:eastAsia="zh-CN"/>
              </w:rPr>
              <w:t>插拔</w:t>
            </w:r>
            <w:r>
              <w:rPr>
                <w:b/>
                <w:bCs/>
                <w:color w:val="000080"/>
                <w:spacing w:val="-2"/>
                <w:lang w:eastAsia="zh-CN"/>
              </w:rPr>
              <w:t>的</w:t>
            </w:r>
            <w:r>
              <w:rPr>
                <w:rFonts w:hint="eastAsia"/>
                <w:b/>
                <w:bCs/>
                <w:color w:val="000080"/>
                <w:spacing w:val="-2"/>
                <w:lang w:eastAsia="zh-CN"/>
              </w:rPr>
              <w:t>连接器，</w:t>
            </w:r>
            <w:r>
              <w:rPr>
                <w:b/>
                <w:bCs/>
                <w:color w:val="000080"/>
                <w:spacing w:val="-2"/>
                <w:lang w:eastAsia="zh-CN"/>
              </w:rPr>
              <w:t>应提供</w:t>
            </w:r>
            <w:r>
              <w:rPr>
                <w:rFonts w:hint="eastAsia"/>
                <w:b/>
                <w:bCs/>
                <w:color w:val="000080"/>
                <w:spacing w:val="-2"/>
                <w:lang w:eastAsia="zh-CN"/>
              </w:rPr>
              <w:t>保护</w:t>
            </w:r>
            <w:r>
              <w:rPr>
                <w:b/>
                <w:bCs/>
                <w:color w:val="000080"/>
                <w:spacing w:val="-2"/>
                <w:lang w:eastAsia="zh-CN"/>
              </w:rPr>
              <w:t>以防止不可接受的风险。</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15.4.2.1 a</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温度和过载控制装置 – 应用</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带自动复位功能的热断路器和过流释放器如果在复位时会导致13.1所述的危险情况。</w:t>
            </w:r>
          </w:p>
          <w:p>
            <w:pPr>
              <w:pStyle w:val="2"/>
              <w:spacing w:before="31" w:after="62"/>
              <w:rPr>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15.4.2.1 c</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温度和过载控制装置 –应用</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default" w:ascii="Times New Roman" w:hAnsi="Times New Roman" w:eastAsia="宋体" w:cs="Times New Roman"/>
                <w:b/>
                <w:bCs/>
                <w:color w:val="000080"/>
                <w:spacing w:val="-2"/>
                <w:kern w:val="0"/>
                <w:sz w:val="20"/>
                <w:szCs w:val="20"/>
                <w:highlight w:val="none"/>
                <w:lang w:val="en-GB" w:eastAsia="zh-CN" w:bidi="ar-SA"/>
              </w:rPr>
              <w:t>如果恒温器的故障会产生13.1中描述的危险情况时，应</w:t>
            </w:r>
            <w:r>
              <w:rPr>
                <w:rFonts w:hint="eastAsia"/>
                <w:b/>
                <w:bCs/>
                <w:color w:val="000080"/>
                <w:spacing w:val="-2"/>
                <w:lang w:eastAsia="zh-CN"/>
              </w:rPr>
              <w:t>额外提供一个独立的非自恢复的热断路器。</w:t>
            </w:r>
          </w:p>
          <w:p>
            <w:pPr>
              <w:pStyle w:val="2"/>
              <w:spacing w:before="31" w:after="62"/>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15.4.2.1 d</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温度和过载控制装置 –应用</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由热断路器或过流释放器动作引起的ME设备的功能缺失不应造成基本性能缺失或13.1所述的任何危险情况。</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15.4.2.1 h</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温度和过载控制装置 –应用</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带管状加热元件的ME 设备，两根引线应有防止过热的措施，以防止其导电连接与地导致过热。</w:t>
            </w:r>
          </w:p>
          <w:p>
            <w:pPr>
              <w:pStyle w:val="2"/>
              <w:spacing w:before="31" w:after="62"/>
              <w:rPr>
                <w:b/>
                <w:bCs/>
                <w:color w:val="000080"/>
                <w:spacing w:val="-2"/>
                <w:szCs w:val="20"/>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15.4.3.1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电池罩壳</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在ME设备中，充电或放电时可能从电池罩壳有气体逸出时，应进行通风以避免因气体积聚而导致不可接受的风险和阻止可能的点燃。</w:t>
            </w:r>
          </w:p>
          <w:p>
            <w:pPr>
              <w:pStyle w:val="2"/>
              <w:spacing w:before="31" w:after="62"/>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15.4.3.2</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连接</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w:t>
            </w:r>
            <w:r>
              <w:rPr>
                <w:b/>
                <w:bCs/>
                <w:color w:val="000080"/>
                <w:spacing w:val="-2"/>
                <w:lang w:eastAsia="zh-CN"/>
              </w:rPr>
              <w:t>文件</w:t>
            </w:r>
            <w:r>
              <w:rPr>
                <w:rFonts w:hint="eastAsia"/>
                <w:b/>
                <w:bCs/>
                <w:color w:val="000080"/>
                <w:spacing w:val="-2"/>
                <w:lang w:eastAsia="zh-CN"/>
              </w:rPr>
              <w:t>应</w:t>
            </w:r>
            <w:r>
              <w:rPr>
                <w:b/>
                <w:bCs/>
                <w:color w:val="000080"/>
                <w:spacing w:val="-2"/>
                <w:lang w:eastAsia="zh-CN"/>
              </w:rPr>
              <w:t>包含</w:t>
            </w:r>
            <w:r>
              <w:rPr>
                <w:rFonts w:hint="eastAsia"/>
                <w:b/>
                <w:bCs/>
                <w:color w:val="000080"/>
                <w:spacing w:val="-2"/>
                <w:lang w:eastAsia="zh-CN"/>
              </w:rPr>
              <w:t>不正确</w:t>
            </w:r>
            <w:r>
              <w:rPr>
                <w:b/>
                <w:bCs/>
                <w:color w:val="000080"/>
                <w:spacing w:val="-2"/>
                <w:lang w:eastAsia="zh-CN"/>
              </w:rPr>
              <w:t>连接</w:t>
            </w:r>
            <w:r>
              <w:rPr>
                <w:rFonts w:hint="eastAsia"/>
                <w:b/>
                <w:bCs/>
                <w:color w:val="000080"/>
                <w:spacing w:val="-2"/>
                <w:lang w:eastAsia="zh-CN"/>
              </w:rPr>
              <w:t>或</w:t>
            </w:r>
            <w:r>
              <w:rPr>
                <w:b/>
                <w:bCs/>
                <w:color w:val="000080"/>
                <w:spacing w:val="-2"/>
                <w:lang w:eastAsia="zh-CN"/>
              </w:rPr>
              <w:t>替换</w:t>
            </w:r>
            <w:r>
              <w:rPr>
                <w:rFonts w:hint="eastAsia"/>
                <w:b/>
                <w:bCs/>
                <w:color w:val="000080"/>
                <w:spacing w:val="-2"/>
                <w:lang w:eastAsia="zh-CN"/>
              </w:rPr>
              <w:t>电池</w:t>
            </w:r>
            <w:r>
              <w:rPr>
                <w:b/>
                <w:bCs/>
                <w:color w:val="000080"/>
                <w:spacing w:val="-2"/>
                <w:lang w:eastAsia="zh-CN"/>
              </w:rPr>
              <w:t>相关的风险评估</w:t>
            </w:r>
            <w:r>
              <w:rPr>
                <w:rFonts w:hint="eastAsia"/>
                <w:b/>
                <w:bCs/>
                <w:color w:val="000080"/>
                <w:spacing w:val="-2"/>
                <w:lang w:eastAsia="zh-CN"/>
              </w:rPr>
              <w:t>。</w:t>
            </w:r>
          </w:p>
          <w:p>
            <w:pPr>
              <w:pStyle w:val="2"/>
              <w:spacing w:before="31" w:after="62"/>
              <w:rPr>
                <w:rFonts w:hint="eastAsia"/>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lang w:eastAsia="zh-CN"/>
              </w:rPr>
            </w:pPr>
          </w:p>
          <w:p>
            <w:pPr>
              <w:bidi w:val="0"/>
              <w:rPr>
                <w:rFonts w:ascii="Arial" w:hAnsi="Arial" w:eastAsia="宋体" w:cs="Arial"/>
                <w:lang w:val="en-GB" w:eastAsia="zh-CN" w:bidi="ar-SA"/>
              </w:rPr>
            </w:pPr>
          </w:p>
          <w:p>
            <w:pPr>
              <w:bidi w:val="0"/>
              <w:jc w:val="left"/>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15.4.3.3</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过度充电保护</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风险管理文件应</w:t>
            </w:r>
            <w:r>
              <w:rPr>
                <w:b/>
                <w:bCs/>
                <w:color w:val="000080"/>
                <w:spacing w:val="-2"/>
                <w:lang w:eastAsia="zh-CN"/>
              </w:rPr>
              <w:t>包含</w:t>
            </w:r>
            <w:r>
              <w:rPr>
                <w:rFonts w:hint="eastAsia"/>
                <w:b/>
                <w:bCs/>
                <w:color w:val="000080"/>
                <w:spacing w:val="-2"/>
                <w:lang w:eastAsia="zh-CN"/>
              </w:rPr>
              <w:t>电池</w:t>
            </w:r>
            <w:r>
              <w:rPr>
                <w:b/>
                <w:bCs/>
                <w:color w:val="000080"/>
                <w:spacing w:val="-2"/>
                <w:lang w:eastAsia="zh-CN"/>
              </w:rPr>
              <w:t>过</w:t>
            </w:r>
            <w:r>
              <w:rPr>
                <w:rFonts w:hint="eastAsia"/>
                <w:b/>
                <w:bCs/>
                <w:color w:val="000080"/>
                <w:spacing w:val="-2"/>
                <w:lang w:eastAsia="zh-CN"/>
              </w:rPr>
              <w:t>充相关</w:t>
            </w:r>
            <w:r>
              <w:rPr>
                <w:b/>
                <w:bCs/>
                <w:color w:val="000080"/>
                <w:spacing w:val="-2"/>
                <w:lang w:eastAsia="zh-CN"/>
              </w:rPr>
              <w:t>的</w:t>
            </w:r>
            <w:r>
              <w:rPr>
                <w:rFonts w:hint="eastAsia"/>
                <w:b/>
                <w:bCs/>
                <w:color w:val="000080"/>
                <w:spacing w:val="-2"/>
                <w:lang w:eastAsia="zh-CN"/>
              </w:rPr>
              <w:t>风险</w:t>
            </w:r>
            <w:r>
              <w:rPr>
                <w:b/>
                <w:bCs/>
                <w:color w:val="000080"/>
                <w:spacing w:val="-2"/>
                <w:lang w:eastAsia="zh-CN"/>
              </w:rPr>
              <w:t>评估。</w:t>
            </w:r>
          </w:p>
          <w:p>
            <w:pPr>
              <w:pStyle w:val="2"/>
              <w:spacing w:before="31" w:after="62"/>
              <w:rPr>
                <w:rFonts w:hint="eastAsia"/>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15.4.5</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预置控制器</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风险管理过程</w:t>
            </w:r>
            <w:r>
              <w:rPr>
                <w:b/>
                <w:bCs/>
                <w:color w:val="000080"/>
                <w:spacing w:val="-2"/>
                <w:lang w:eastAsia="zh-CN"/>
              </w:rPr>
              <w:t>中</w:t>
            </w:r>
            <w:r>
              <w:rPr>
                <w:rFonts w:hint="eastAsia"/>
                <w:b/>
                <w:bCs/>
                <w:color w:val="000080"/>
                <w:spacing w:val="-2"/>
                <w:lang w:eastAsia="zh-CN"/>
              </w:rPr>
              <w:t>应有预置控制器</w:t>
            </w:r>
            <w:r>
              <w:rPr>
                <w:b/>
                <w:bCs/>
                <w:color w:val="000080"/>
                <w:spacing w:val="-2"/>
                <w:lang w:eastAsia="zh-CN"/>
              </w:rPr>
              <w:t>相关的风险。</w:t>
            </w:r>
          </w:p>
          <w:p>
            <w:pPr>
              <w:pStyle w:val="2"/>
              <w:spacing w:before="31" w:after="62"/>
              <w:rPr>
                <w:rFonts w:hint="eastAsia"/>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725"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spacing w:val="-2"/>
                <w:lang w:val="en-US" w:eastAsia="zh-CN"/>
              </w:rPr>
              <w:t>*</w:t>
            </w:r>
            <w:r>
              <w:rPr>
                <w:rFonts w:hint="eastAsia"/>
                <w:b/>
                <w:bCs/>
                <w:color w:val="000080"/>
                <w:lang w:eastAsia="zh-CN"/>
              </w:rPr>
              <w:t>16.1</w:t>
            </w:r>
          </w:p>
        </w:tc>
        <w:tc>
          <w:tcPr>
            <w:tcW w:w="1178"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ME系统的通用要求</w:t>
            </w:r>
          </w:p>
        </w:tc>
        <w:tc>
          <w:tcPr>
            <w:tcW w:w="2835" w:type="dxa"/>
            <w:tcBorders>
              <w:top w:val="single" w:color="auto" w:sz="4" w:space="0"/>
              <w:left w:val="single" w:color="auto" w:sz="4" w:space="0"/>
              <w:bottom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风险管理文件</w:t>
            </w:r>
            <w:r>
              <w:rPr>
                <w:b/>
                <w:bCs/>
                <w:color w:val="000080"/>
                <w:spacing w:val="-2"/>
                <w:lang w:eastAsia="zh-CN"/>
              </w:rPr>
              <w:t>中应包含</w:t>
            </w:r>
            <w:r>
              <w:rPr>
                <w:rFonts w:hint="eastAsia"/>
                <w:b/>
                <w:bCs/>
                <w:color w:val="000080"/>
                <w:spacing w:val="-2"/>
                <w:lang w:eastAsia="zh-CN"/>
              </w:rPr>
              <w:t>ME</w:t>
            </w:r>
            <w:r>
              <w:rPr>
                <w:b/>
                <w:bCs/>
                <w:color w:val="000080"/>
                <w:spacing w:val="-2"/>
                <w:lang w:eastAsia="zh-CN"/>
              </w:rPr>
              <w:t>系统</w:t>
            </w:r>
            <w:r>
              <w:rPr>
                <w:rFonts w:hint="eastAsia"/>
                <w:b/>
                <w:bCs/>
                <w:color w:val="000080"/>
                <w:spacing w:val="-2"/>
                <w:lang w:eastAsia="zh-CN"/>
              </w:rPr>
              <w:t>安装</w:t>
            </w:r>
            <w:r>
              <w:rPr>
                <w:b/>
                <w:bCs/>
                <w:color w:val="000080"/>
                <w:spacing w:val="-2"/>
                <w:lang w:eastAsia="zh-CN"/>
              </w:rPr>
              <w:t>或</w:t>
            </w:r>
            <w:r>
              <w:rPr>
                <w:rFonts w:hint="eastAsia"/>
                <w:b/>
                <w:bCs/>
                <w:color w:val="000080"/>
                <w:spacing w:val="-2"/>
                <w:lang w:eastAsia="zh-CN"/>
              </w:rPr>
              <w:t>改装相关</w:t>
            </w:r>
            <w:r>
              <w:rPr>
                <w:b/>
                <w:bCs/>
                <w:color w:val="000080"/>
                <w:spacing w:val="-2"/>
                <w:lang w:eastAsia="zh-CN"/>
              </w:rPr>
              <w:t>风险的评估。</w:t>
            </w:r>
          </w:p>
          <w:p>
            <w:pPr>
              <w:pStyle w:val="2"/>
              <w:spacing w:before="31" w:after="62"/>
              <w:rPr>
                <w:rFonts w:hint="eastAsia"/>
                <w:b/>
                <w:bCs/>
                <w:color w:val="000080"/>
                <w:spacing w:val="-2"/>
                <w:szCs w:val="20"/>
                <w:lang w:val="en-US"/>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w:t>
            </w:r>
          </w:p>
        </w:tc>
        <w:tc>
          <w:tcPr>
            <w:tcW w:w="3110" w:type="dxa"/>
            <w:tcBorders>
              <w:top w:val="single" w:color="auto" w:sz="4" w:space="0"/>
              <w:left w:val="single" w:color="auto" w:sz="4" w:space="0"/>
              <w:bottom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bottom w:val="single" w:color="auto" w:sz="4" w:space="0"/>
              <w:right w:val="single" w:color="auto" w:sz="4" w:space="0"/>
            </w:tcBorders>
          </w:tcPr>
          <w:p>
            <w:pPr>
              <w:widowControl w:val="0"/>
              <w:tabs>
                <w:tab w:val="left" w:pos="-720"/>
              </w:tabs>
              <w:suppressAutoHyphens/>
              <w:spacing w:before="66" w:after="54"/>
              <w:jc w:val="center"/>
              <w:rPr>
                <w:b/>
                <w:bCs/>
                <w:color w:val="000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81" w:hRule="atLeast"/>
          <w:jc w:val="center"/>
        </w:trPr>
        <w:tc>
          <w:tcPr>
            <w:tcW w:w="725" w:type="dxa"/>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lang w:eastAsia="zh-CN"/>
              </w:rPr>
            </w:pPr>
            <w:r>
              <w:rPr>
                <w:rFonts w:hint="eastAsia"/>
                <w:b/>
                <w:bCs/>
                <w:color w:val="000080"/>
                <w:lang w:eastAsia="zh-CN"/>
              </w:rPr>
              <w:t>16.9.1</w:t>
            </w:r>
          </w:p>
        </w:tc>
        <w:tc>
          <w:tcPr>
            <w:tcW w:w="1178" w:type="dxa"/>
            <w:tcBorders>
              <w:top w:val="single" w:color="auto" w:sz="4" w:space="0"/>
              <w:left w:val="single" w:color="auto" w:sz="4" w:space="0"/>
              <w:right w:val="single" w:color="auto" w:sz="4" w:space="0"/>
            </w:tcBorders>
          </w:tcPr>
          <w:p>
            <w:pPr>
              <w:widowControl w:val="0"/>
              <w:tabs>
                <w:tab w:val="left" w:pos="-720"/>
              </w:tabs>
              <w:suppressAutoHyphens/>
              <w:spacing w:before="66" w:after="54"/>
              <w:rPr>
                <w:b/>
                <w:bCs/>
                <w:color w:val="000080"/>
              </w:rPr>
            </w:pPr>
            <w:r>
              <w:rPr>
                <w:rFonts w:hint="eastAsia"/>
                <w:b/>
                <w:bCs/>
                <w:color w:val="000080"/>
                <w:lang w:eastAsia="zh-CN"/>
              </w:rPr>
              <w:t>连接端子和连接器</w:t>
            </w:r>
          </w:p>
        </w:tc>
        <w:tc>
          <w:tcPr>
            <w:tcW w:w="2835" w:type="dxa"/>
            <w:tcBorders>
              <w:top w:val="single" w:color="auto" w:sz="4" w:space="0"/>
              <w:left w:val="single" w:color="auto" w:sz="4" w:space="0"/>
              <w:right w:val="single" w:color="auto" w:sz="4" w:space="0"/>
            </w:tcBorders>
          </w:tcPr>
          <w:p>
            <w:pPr>
              <w:rPr>
                <w:b/>
                <w:bCs/>
                <w:color w:val="000080"/>
                <w:spacing w:val="-2"/>
                <w:lang w:eastAsia="zh-CN"/>
              </w:rPr>
            </w:pPr>
            <w:r>
              <w:rPr>
                <w:rFonts w:hint="eastAsia"/>
                <w:b/>
                <w:bCs/>
                <w:color w:val="000080"/>
                <w:spacing w:val="-2"/>
                <w:lang w:eastAsia="zh-CN"/>
              </w:rPr>
              <w:t>风险管理文中</w:t>
            </w:r>
            <w:r>
              <w:rPr>
                <w:b/>
                <w:bCs/>
                <w:color w:val="000080"/>
                <w:spacing w:val="-2"/>
                <w:lang w:eastAsia="zh-CN"/>
              </w:rPr>
              <w:t>应包含</w:t>
            </w:r>
            <w:r>
              <w:rPr>
                <w:rFonts w:hint="eastAsia"/>
                <w:b/>
                <w:bCs/>
                <w:color w:val="000080"/>
                <w:spacing w:val="-2"/>
                <w:lang w:eastAsia="zh-CN"/>
              </w:rPr>
              <w:t>患者</w:t>
            </w:r>
            <w:r>
              <w:rPr>
                <w:b/>
                <w:bCs/>
                <w:color w:val="000080"/>
                <w:spacing w:val="-2"/>
                <w:lang w:eastAsia="zh-CN"/>
              </w:rPr>
              <w:t>连接或</w:t>
            </w:r>
            <w:r>
              <w:rPr>
                <w:rFonts w:hint="eastAsia"/>
                <w:b/>
                <w:bCs/>
                <w:color w:val="000080"/>
                <w:spacing w:val="-2"/>
                <w:lang w:eastAsia="zh-CN"/>
              </w:rPr>
              <w:t>电缆可能会与处于</w:t>
            </w:r>
            <w:r>
              <w:rPr>
                <w:b/>
                <w:bCs/>
                <w:color w:val="000080"/>
                <w:spacing w:val="-2"/>
                <w:lang w:eastAsia="zh-CN"/>
              </w:rPr>
              <w:t>患者环境中</w:t>
            </w:r>
            <w:r>
              <w:rPr>
                <w:rFonts w:hint="eastAsia"/>
                <w:b/>
                <w:bCs/>
                <w:color w:val="000080"/>
                <w:spacing w:val="-2"/>
                <w:lang w:eastAsia="zh-CN"/>
              </w:rPr>
              <w:t>同一</w:t>
            </w:r>
            <w:r>
              <w:rPr>
                <w:b/>
                <w:bCs/>
                <w:color w:val="000080"/>
                <w:spacing w:val="-2"/>
                <w:lang w:eastAsia="zh-CN"/>
              </w:rPr>
              <w:t>ME</w:t>
            </w:r>
            <w:r>
              <w:rPr>
                <w:rFonts w:hint="eastAsia"/>
                <w:b/>
                <w:bCs/>
                <w:color w:val="000080"/>
                <w:spacing w:val="-2"/>
                <w:lang w:eastAsia="zh-CN"/>
              </w:rPr>
              <w:t>系统</w:t>
            </w:r>
            <w:r>
              <w:rPr>
                <w:b/>
                <w:bCs/>
                <w:color w:val="000080"/>
                <w:spacing w:val="-2"/>
                <w:lang w:eastAsia="zh-CN"/>
              </w:rPr>
              <w:t>的其他</w:t>
            </w:r>
            <w:r>
              <w:rPr>
                <w:rFonts w:hint="eastAsia"/>
                <w:b/>
                <w:bCs/>
                <w:color w:val="000080"/>
                <w:spacing w:val="-2"/>
                <w:lang w:eastAsia="zh-CN"/>
              </w:rPr>
              <w:t>插座</w:t>
            </w:r>
            <w:r>
              <w:rPr>
                <w:b/>
                <w:bCs/>
                <w:color w:val="000080"/>
                <w:spacing w:val="-2"/>
                <w:lang w:eastAsia="zh-CN"/>
              </w:rPr>
              <w:t>连接的</w:t>
            </w:r>
            <w:r>
              <w:rPr>
                <w:rFonts w:hint="eastAsia"/>
                <w:b/>
                <w:bCs/>
                <w:color w:val="000080"/>
                <w:spacing w:val="-2"/>
                <w:lang w:eastAsia="zh-CN"/>
              </w:rPr>
              <w:t>相关</w:t>
            </w:r>
            <w:r>
              <w:rPr>
                <w:b/>
                <w:bCs/>
                <w:color w:val="000080"/>
                <w:spacing w:val="-2"/>
                <w:lang w:eastAsia="zh-CN"/>
              </w:rPr>
              <w:t>风险的评估。</w:t>
            </w:r>
          </w:p>
          <w:p>
            <w:pPr>
              <w:pStyle w:val="2"/>
              <w:spacing w:before="31" w:after="62"/>
              <w:rPr>
                <w:rFonts w:hint="eastAsia"/>
                <w:b/>
                <w:bCs/>
                <w:color w:val="000080"/>
                <w:spacing w:val="-2"/>
                <w:szCs w:val="20"/>
                <w:lang w:eastAsia="zh-CN"/>
              </w:rPr>
            </w:pPr>
            <w:r>
              <w:rPr>
                <w:b/>
                <w:bCs/>
                <w:color w:val="000080"/>
                <w:spacing w:val="-2"/>
                <w:sz w:val="18"/>
                <w:szCs w:val="16"/>
                <w:lang w:val="en-US" w:eastAsia="zh-CN"/>
              </w:rPr>
              <w:t>(</w:t>
            </w:r>
            <w:r>
              <w:rPr>
                <w:rFonts w:hint="eastAsia"/>
                <w:b/>
                <w:bCs/>
                <w:color w:val="000080"/>
                <w:spacing w:val="-2"/>
                <w:sz w:val="18"/>
                <w:szCs w:val="16"/>
                <w:lang w:val="en-US" w:eastAsia="zh-CN"/>
              </w:rPr>
              <w:t xml:space="preserve">YY/T 0316 </w:t>
            </w:r>
            <w:r>
              <w:rPr>
                <w:b/>
                <w:bCs/>
                <w:color w:val="000080"/>
                <w:spacing w:val="-2"/>
                <w:sz w:val="18"/>
                <w:szCs w:val="16"/>
                <w:lang w:val="en-US" w:eastAsia="zh-CN"/>
              </w:rPr>
              <w:t>Cl.4.2-4.4,5</w:t>
            </w:r>
            <w:r>
              <w:rPr>
                <w:rFonts w:hint="eastAsia"/>
                <w:b/>
                <w:bCs/>
                <w:color w:val="000080"/>
                <w:spacing w:val="-2"/>
                <w:sz w:val="18"/>
                <w:szCs w:val="16"/>
                <w:lang w:val="en-US" w:eastAsia="zh-CN"/>
              </w:rPr>
              <w:t>,6.2-6.</w:t>
            </w:r>
            <w:r>
              <w:rPr>
                <w:b/>
                <w:bCs/>
                <w:color w:val="000080"/>
                <w:spacing w:val="-2"/>
                <w:sz w:val="18"/>
                <w:szCs w:val="16"/>
                <w:lang w:val="en-US" w:eastAsia="zh-CN"/>
              </w:rPr>
              <w:t>5</w:t>
            </w:r>
            <w:r>
              <w:rPr>
                <w:rFonts w:hint="eastAsia"/>
                <w:b/>
                <w:bCs/>
                <w:color w:val="000080"/>
                <w:spacing w:val="-2"/>
                <w:sz w:val="18"/>
                <w:szCs w:val="16"/>
                <w:lang w:val="en-US" w:eastAsia="zh-CN"/>
              </w:rPr>
              <w:t>)</w:t>
            </w:r>
          </w:p>
        </w:tc>
        <w:tc>
          <w:tcPr>
            <w:tcW w:w="3110" w:type="dxa"/>
            <w:tcBorders>
              <w:top w:val="single" w:color="auto" w:sz="4" w:space="0"/>
              <w:left w:val="single" w:color="auto" w:sz="4" w:space="0"/>
              <w:right w:val="single" w:color="auto" w:sz="4" w:space="0"/>
            </w:tcBorders>
          </w:tcPr>
          <w:p>
            <w:pPr>
              <w:suppressAutoHyphens/>
              <w:spacing w:before="66" w:after="54" w:line="240" w:lineRule="exact"/>
              <w:rPr>
                <w:color w:val="000080"/>
              </w:rPr>
            </w:pPr>
            <w:r>
              <w:rPr>
                <w:rFonts w:hint="eastAsia"/>
                <w:color w:val="000080"/>
                <w:lang w:val="en-US" w:eastAsia="zh-CN"/>
              </w:rPr>
              <w:t xml:space="preserve">风险管理文档中识别到的风险: </w:t>
            </w:r>
            <w:r>
              <w:rPr>
                <w:color w:val="000080"/>
              </w:rPr>
              <w:t xml:space="preserve"> </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名称：</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编号：</w:t>
            </w:r>
          </w:p>
          <w:p>
            <w:pPr>
              <w:suppressAutoHyphens/>
              <w:spacing w:before="66" w:after="54" w:line="240" w:lineRule="exact"/>
              <w:rPr>
                <w:color w:val="000080"/>
                <w:lang w:eastAsia="zh-CN"/>
              </w:rPr>
            </w:pPr>
            <w:r>
              <w:rPr>
                <w:rFonts w:hint="eastAsia"/>
                <w:color w:val="000080"/>
                <w:lang w:eastAsia="zh-CN"/>
              </w:rPr>
              <w:t>文档</w:t>
            </w:r>
            <w:r>
              <w:rPr>
                <w:color w:val="000080"/>
                <w:lang w:eastAsia="zh-CN"/>
              </w:rPr>
              <w:t>章节号：</w:t>
            </w:r>
          </w:p>
          <w:p>
            <w:pPr>
              <w:suppressAutoHyphens/>
              <w:spacing w:before="66" w:after="54" w:line="240" w:lineRule="exact"/>
              <w:rPr>
                <w:color w:val="000080"/>
              </w:rPr>
            </w:pPr>
            <w:r>
              <w:rPr>
                <w:rFonts w:hint="eastAsia"/>
                <w:color w:val="000080"/>
                <w:lang w:eastAsia="zh-CN"/>
              </w:rPr>
              <w:t>风险编号</w:t>
            </w:r>
            <w:r>
              <w:rPr>
                <w:color w:val="000080"/>
                <w:lang w:eastAsia="zh-CN"/>
              </w:rPr>
              <w:t>：</w:t>
            </w:r>
          </w:p>
          <w:p>
            <w:pPr>
              <w:suppressAutoHyphens/>
              <w:spacing w:before="66" w:after="54" w:line="240" w:lineRule="exact"/>
              <w:rPr>
                <w:color w:val="000080"/>
              </w:rPr>
            </w:pPr>
          </w:p>
          <w:p>
            <w:pPr>
              <w:suppressAutoHyphens/>
              <w:spacing w:before="66" w:after="54" w:line="240" w:lineRule="exact"/>
              <w:rPr>
                <w:color w:val="000080"/>
                <w:lang w:eastAsia="zh-CN"/>
              </w:rPr>
            </w:pPr>
            <w:r>
              <w:rPr>
                <w:rFonts w:hint="eastAsia"/>
                <w:color w:val="000080"/>
                <w:lang w:eastAsia="zh-CN"/>
              </w:rPr>
              <w:t>(YY/T 0316 Cl.</w:t>
            </w:r>
            <w:r>
              <w:rPr>
                <w:color w:val="000080"/>
                <w:lang w:eastAsia="zh-CN"/>
              </w:rPr>
              <w:t>____________)</w:t>
            </w:r>
          </w:p>
        </w:tc>
        <w:tc>
          <w:tcPr>
            <w:tcW w:w="1907" w:type="dxa"/>
            <w:tcBorders>
              <w:top w:val="single" w:color="auto" w:sz="4" w:space="0"/>
              <w:left w:val="single" w:color="auto" w:sz="4" w:space="0"/>
              <w:right w:val="single" w:color="auto" w:sz="4" w:space="0"/>
            </w:tcBorders>
          </w:tcPr>
          <w:p>
            <w:pPr>
              <w:widowControl w:val="0"/>
              <w:tabs>
                <w:tab w:val="left" w:pos="-720"/>
              </w:tabs>
              <w:suppressAutoHyphens/>
              <w:spacing w:before="66" w:after="54"/>
              <w:jc w:val="center"/>
              <w:rPr>
                <w:b/>
                <w:bCs/>
                <w:color w:val="000080"/>
              </w:rPr>
            </w:pPr>
          </w:p>
        </w:tc>
      </w:tr>
    </w:tbl>
    <w:p>
      <w:pPr>
        <w:rPr>
          <w:lang w:eastAsia="zh-CN"/>
        </w:rPr>
      </w:pPr>
    </w:p>
    <w:p>
      <w:pPr>
        <w:rPr>
          <w:lang w:val="en-US" w:eastAsia="zh-CN"/>
        </w:rPr>
        <w:sectPr>
          <w:headerReference r:id="rId3" w:type="default"/>
          <w:pgSz w:w="11906" w:h="16838"/>
          <w:pgMar w:top="1440" w:right="1800" w:bottom="1440" w:left="1800" w:header="851" w:footer="992" w:gutter="0"/>
          <w:cols w:space="425" w:num="1"/>
          <w:docGrid w:type="lines" w:linePitch="312" w:charSpace="0"/>
        </w:sectPr>
      </w:pPr>
    </w:p>
    <w:tbl>
      <w:tblPr>
        <w:tblStyle w:val="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650"/>
        <w:gridCol w:w="2377"/>
        <w:gridCol w:w="369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4" w:type="dxa"/>
            <w:tcBorders>
              <w:bottom w:val="single" w:color="auto" w:sz="4" w:space="0"/>
            </w:tcBorders>
            <w:shd w:val="clear" w:color="auto" w:fill="FFFFFF"/>
          </w:tcPr>
          <w:p>
            <w:pPr>
              <w:pStyle w:val="4"/>
              <w:rPr>
                <w:b/>
                <w:bCs/>
                <w:color w:val="000080"/>
                <w:lang w:eastAsia="zh-CN"/>
              </w:rPr>
            </w:pPr>
            <w:r>
              <w:rPr>
                <w:rFonts w:hint="eastAsia"/>
                <w:b/>
                <w:bCs/>
                <w:color w:val="000080"/>
                <w:lang w:eastAsia="zh-CN"/>
              </w:rPr>
              <w:t>4.2.2</w:t>
            </w:r>
          </w:p>
        </w:tc>
        <w:tc>
          <w:tcPr>
            <w:tcW w:w="8848" w:type="dxa"/>
            <w:gridSpan w:val="4"/>
            <w:tcBorders>
              <w:bottom w:val="single" w:color="auto" w:sz="4" w:space="0"/>
            </w:tcBorders>
            <w:shd w:val="clear" w:color="auto" w:fill="FFFFFF"/>
          </w:tcPr>
          <w:p>
            <w:pPr>
              <w:pStyle w:val="4"/>
              <w:rPr>
                <w:b/>
                <w:bCs/>
                <w:color w:val="000080"/>
                <w:lang w:eastAsia="zh-CN"/>
              </w:rPr>
            </w:pPr>
            <w:r>
              <w:rPr>
                <w:rFonts w:hint="eastAsia"/>
                <w:b/>
                <w:bCs/>
                <w:color w:val="000080"/>
                <w:spacing w:val="-2"/>
                <w:lang w:eastAsia="zh-CN"/>
              </w:rPr>
              <w:t>风险管理文件: 风险管理的通用要求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blHeader/>
          <w:jc w:val="center"/>
        </w:trPr>
        <w:tc>
          <w:tcPr>
            <w:tcW w:w="904" w:type="dxa"/>
            <w:vMerge w:val="restart"/>
            <w:shd w:val="clear" w:color="auto" w:fill="E6E6E6"/>
          </w:tcPr>
          <w:p>
            <w:pPr>
              <w:pStyle w:val="4"/>
              <w:jc w:val="left"/>
              <w:rPr>
                <w:b/>
                <w:bCs/>
                <w:color w:val="000080"/>
                <w:lang w:eastAsia="zh-CN"/>
              </w:rPr>
            </w:pPr>
            <w:r>
              <w:rPr>
                <w:rFonts w:hint="eastAsia"/>
                <w:b/>
                <w:bCs/>
                <w:color w:val="000080"/>
                <w:lang w:eastAsia="zh-CN"/>
              </w:rPr>
              <w:t>YY 0316 章节</w:t>
            </w:r>
          </w:p>
        </w:tc>
        <w:tc>
          <w:tcPr>
            <w:tcW w:w="4027" w:type="dxa"/>
            <w:gridSpan w:val="2"/>
            <w:shd w:val="clear" w:color="auto" w:fill="E6E6E6"/>
          </w:tcPr>
          <w:p>
            <w:pPr>
              <w:pStyle w:val="4"/>
              <w:jc w:val="left"/>
              <w:rPr>
                <w:b/>
                <w:bCs/>
                <w:color w:val="000080"/>
                <w:lang w:eastAsia="zh-CN"/>
              </w:rPr>
            </w:pPr>
            <w:r>
              <w:rPr>
                <w:rFonts w:hint="eastAsia"/>
                <w:b/>
                <w:bCs/>
                <w:color w:val="000080"/>
                <w:lang w:eastAsia="zh-CN"/>
              </w:rPr>
              <w:t>文件编号，文件章节，文件段落</w:t>
            </w:r>
          </w:p>
        </w:tc>
        <w:tc>
          <w:tcPr>
            <w:tcW w:w="3694" w:type="dxa"/>
            <w:vMerge w:val="restart"/>
            <w:shd w:val="clear" w:color="auto" w:fill="E6E6E6"/>
          </w:tcPr>
          <w:p>
            <w:pPr>
              <w:pStyle w:val="4"/>
              <w:spacing w:before="240"/>
              <w:jc w:val="center"/>
              <w:rPr>
                <w:b/>
                <w:bCs/>
                <w:color w:val="000080"/>
                <w:lang w:eastAsia="zh-CN"/>
              </w:rPr>
            </w:pPr>
            <w:r>
              <w:rPr>
                <w:rFonts w:hint="eastAsia"/>
                <w:b/>
                <w:bCs/>
                <w:color w:val="000080"/>
                <w:lang w:eastAsia="zh-CN"/>
              </w:rPr>
              <w:t>结论-注释</w:t>
            </w:r>
          </w:p>
        </w:tc>
        <w:tc>
          <w:tcPr>
            <w:tcW w:w="1127" w:type="dxa"/>
            <w:vMerge w:val="restart"/>
            <w:shd w:val="clear" w:color="auto" w:fill="E6E6E6"/>
          </w:tcPr>
          <w:p>
            <w:pPr>
              <w:pStyle w:val="4"/>
              <w:spacing w:before="240"/>
              <w:jc w:val="center"/>
              <w:rPr>
                <w:rFonts w:hint="default"/>
                <w:b/>
                <w:bCs/>
                <w:color w:val="000080"/>
                <w:lang w:val="en-US" w:eastAsia="zh-CN"/>
              </w:rPr>
            </w:pPr>
            <w:r>
              <w:rPr>
                <w:rFonts w:hint="eastAsia"/>
                <w:b/>
                <w:bCs/>
                <w:color w:val="00008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blHeader/>
          <w:jc w:val="center"/>
        </w:trPr>
        <w:tc>
          <w:tcPr>
            <w:tcW w:w="904" w:type="dxa"/>
            <w:vMerge w:val="continue"/>
            <w:shd w:val="clear" w:color="auto" w:fill="E6E6E6"/>
          </w:tcPr>
          <w:p>
            <w:pPr>
              <w:pStyle w:val="4"/>
              <w:jc w:val="left"/>
              <w:rPr>
                <w:b/>
                <w:bCs/>
                <w:color w:val="000080"/>
                <w:lang w:eastAsia="zh-CN"/>
              </w:rPr>
            </w:pPr>
          </w:p>
        </w:tc>
        <w:tc>
          <w:tcPr>
            <w:tcW w:w="1650" w:type="dxa"/>
            <w:shd w:val="clear" w:color="auto" w:fill="E6E6E6"/>
          </w:tcPr>
          <w:p>
            <w:pPr>
              <w:pStyle w:val="4"/>
              <w:jc w:val="center"/>
              <w:rPr>
                <w:b/>
                <w:bCs/>
                <w:color w:val="000080"/>
                <w:lang w:eastAsia="zh-CN"/>
              </w:rPr>
            </w:pPr>
            <w:r>
              <w:rPr>
                <w:rFonts w:hint="eastAsia"/>
                <w:b/>
                <w:bCs/>
                <w:color w:val="000080"/>
                <w:lang w:eastAsia="zh-CN"/>
              </w:rPr>
              <w:t>风险管理</w:t>
            </w:r>
          </w:p>
          <w:p>
            <w:pPr>
              <w:pStyle w:val="4"/>
              <w:jc w:val="center"/>
              <w:rPr>
                <w:b/>
                <w:bCs/>
                <w:color w:val="000080"/>
                <w:lang w:eastAsia="zh-CN"/>
              </w:rPr>
            </w:pPr>
            <w:r>
              <w:rPr>
                <w:rFonts w:hint="eastAsia"/>
                <w:b/>
                <w:bCs/>
                <w:color w:val="000080"/>
                <w:lang w:eastAsia="zh-CN"/>
              </w:rPr>
              <w:t>通用程序</w:t>
            </w:r>
          </w:p>
        </w:tc>
        <w:tc>
          <w:tcPr>
            <w:tcW w:w="2377" w:type="dxa"/>
            <w:shd w:val="clear" w:color="auto" w:fill="E6E6E6"/>
          </w:tcPr>
          <w:p>
            <w:pPr>
              <w:pStyle w:val="4"/>
              <w:jc w:val="center"/>
              <w:rPr>
                <w:b/>
                <w:bCs/>
                <w:color w:val="000080"/>
                <w:lang w:eastAsia="zh-CN"/>
              </w:rPr>
            </w:pPr>
            <w:r>
              <w:rPr>
                <w:rFonts w:hint="eastAsia"/>
                <w:b/>
                <w:bCs/>
                <w:color w:val="000080"/>
                <w:lang w:eastAsia="zh-CN"/>
              </w:rPr>
              <w:t>待测</w:t>
            </w:r>
            <w:r>
              <w:rPr>
                <w:b/>
                <w:bCs/>
                <w:color w:val="000080"/>
                <w:lang w:eastAsia="zh-CN"/>
              </w:rPr>
              <w:t>产品</w:t>
            </w:r>
          </w:p>
          <w:p>
            <w:pPr>
              <w:pStyle w:val="4"/>
              <w:jc w:val="center"/>
              <w:rPr>
                <w:b/>
                <w:bCs/>
                <w:color w:val="000080"/>
                <w:lang w:eastAsia="zh-CN"/>
              </w:rPr>
            </w:pPr>
            <w:r>
              <w:rPr>
                <w:b/>
                <w:bCs/>
                <w:color w:val="000080"/>
                <w:lang w:eastAsia="zh-CN"/>
              </w:rPr>
              <w:t>风险管理要求</w:t>
            </w:r>
          </w:p>
        </w:tc>
        <w:tc>
          <w:tcPr>
            <w:tcW w:w="3694" w:type="dxa"/>
            <w:vMerge w:val="continue"/>
            <w:shd w:val="clear" w:color="auto" w:fill="E6E6E6"/>
          </w:tcPr>
          <w:p>
            <w:pPr>
              <w:pStyle w:val="4"/>
              <w:rPr>
                <w:b/>
                <w:bCs/>
                <w:color w:val="000080"/>
                <w:lang w:eastAsia="zh-CN"/>
              </w:rPr>
            </w:pPr>
          </w:p>
        </w:tc>
        <w:tc>
          <w:tcPr>
            <w:tcW w:w="1127" w:type="dxa"/>
            <w:vMerge w:val="continue"/>
            <w:shd w:val="clear" w:color="auto" w:fill="E6E6E6"/>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3.1</w:t>
            </w:r>
          </w:p>
        </w:tc>
        <w:tc>
          <w:tcPr>
            <w:tcW w:w="1650" w:type="dxa"/>
            <w:shd w:val="clear" w:color="auto" w:fill="FFFFFF"/>
          </w:tcPr>
          <w:p>
            <w:pPr>
              <w:pStyle w:val="4"/>
              <w:jc w:val="left"/>
              <w:rPr>
                <w:b/>
                <w:bCs/>
                <w:color w:val="000080"/>
                <w:lang w:eastAsia="zh-CN"/>
              </w:rPr>
            </w:pPr>
          </w:p>
        </w:tc>
        <w:tc>
          <w:tcPr>
            <w:tcW w:w="2377" w:type="dxa"/>
            <w:shd w:val="clear" w:color="auto" w:fill="D9D9D9"/>
            <w:vAlign w:val="center"/>
          </w:tcPr>
          <w:p>
            <w:pPr>
              <w:pStyle w:val="4"/>
              <w:jc w:val="center"/>
              <w:rPr>
                <w:b/>
                <w:bCs/>
                <w:color w:val="000080"/>
                <w:lang w:eastAsia="zh-CN"/>
              </w:rPr>
            </w:pPr>
            <w:r>
              <w:rPr>
                <w:rFonts w:hint="eastAsia"/>
                <w:b/>
                <w:bCs/>
                <w:color w:val="000080"/>
                <w:lang w:eastAsia="zh-CN"/>
              </w:rPr>
              <w:t>—</w:t>
            </w:r>
          </w:p>
        </w:tc>
        <w:tc>
          <w:tcPr>
            <w:tcW w:w="3694" w:type="dxa"/>
            <w:shd w:val="clear" w:color="auto" w:fill="FFFFFF"/>
          </w:tcPr>
          <w:p>
            <w:pPr>
              <w:pStyle w:val="4"/>
              <w:jc w:val="left"/>
              <w:rPr>
                <w:b/>
                <w:bCs/>
                <w:color w:val="000080"/>
                <w:lang w:val="en-US" w:eastAsia="zh-CN"/>
              </w:rPr>
            </w:pPr>
            <w:r>
              <w:rPr>
                <w:rFonts w:hint="eastAsia"/>
                <w:b/>
                <w:bCs/>
                <w:color w:val="000080"/>
                <w:lang w:val="en-US" w:eastAsia="zh-CN"/>
              </w:rPr>
              <w:t>风险管理过程（不包括生产和生产后的信息）</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 xml:space="preserve">3.2 </w:t>
            </w:r>
          </w:p>
        </w:tc>
        <w:tc>
          <w:tcPr>
            <w:tcW w:w="1650" w:type="dxa"/>
            <w:shd w:val="clear" w:color="auto" w:fill="FFFFFF"/>
          </w:tcPr>
          <w:p>
            <w:pPr>
              <w:pStyle w:val="4"/>
              <w:jc w:val="left"/>
              <w:rPr>
                <w:b/>
                <w:bCs/>
                <w:color w:val="000080"/>
                <w:lang w:eastAsia="zh-CN"/>
              </w:rPr>
            </w:pPr>
          </w:p>
        </w:tc>
        <w:tc>
          <w:tcPr>
            <w:tcW w:w="2377" w:type="dxa"/>
            <w:shd w:val="clear" w:color="auto" w:fill="D9D9D9"/>
            <w:vAlign w:val="center"/>
          </w:tcPr>
          <w:p>
            <w:pPr>
              <w:pStyle w:val="4"/>
              <w:jc w:val="center"/>
              <w:rPr>
                <w:b/>
                <w:bCs/>
                <w:color w:val="000080"/>
                <w:lang w:eastAsia="zh-CN"/>
              </w:rPr>
            </w:pPr>
            <w:r>
              <w:rPr>
                <w:rFonts w:hint="eastAsia"/>
                <w:b/>
                <w:bCs/>
                <w:color w:val="000080"/>
                <w:lang w:eastAsia="zh-CN"/>
              </w:rPr>
              <w:t>—</w:t>
            </w:r>
          </w:p>
        </w:tc>
        <w:tc>
          <w:tcPr>
            <w:tcW w:w="3694" w:type="dxa"/>
            <w:shd w:val="clear" w:color="auto" w:fill="FFFFFF"/>
          </w:tcPr>
          <w:p>
            <w:pPr>
              <w:pStyle w:val="4"/>
              <w:jc w:val="left"/>
              <w:rPr>
                <w:b/>
                <w:bCs/>
                <w:color w:val="000080"/>
                <w:lang w:val="en-US" w:eastAsia="zh-CN"/>
              </w:rPr>
            </w:pPr>
            <w:r>
              <w:rPr>
                <w:rFonts w:hint="eastAsia"/>
                <w:b/>
                <w:bCs/>
                <w:color w:val="000080"/>
                <w:lang w:val="en-US" w:eastAsia="zh-CN"/>
              </w:rPr>
              <w:t>充分的资源</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3.2</w:t>
            </w:r>
          </w:p>
        </w:tc>
        <w:tc>
          <w:tcPr>
            <w:tcW w:w="1650" w:type="dxa"/>
            <w:shd w:val="clear" w:color="auto" w:fill="FFFFFF"/>
          </w:tcPr>
          <w:p>
            <w:pPr>
              <w:rPr>
                <w:b/>
                <w:bCs/>
                <w:color w:val="000080"/>
                <w:spacing w:val="-2"/>
                <w:lang w:eastAsia="zh-CN"/>
              </w:rPr>
            </w:pPr>
          </w:p>
        </w:tc>
        <w:tc>
          <w:tcPr>
            <w:tcW w:w="2377" w:type="dxa"/>
            <w:shd w:val="clear" w:color="auto" w:fill="D9D9D9"/>
            <w:vAlign w:val="center"/>
          </w:tcPr>
          <w:p>
            <w:pPr>
              <w:pStyle w:val="4"/>
              <w:jc w:val="center"/>
              <w:rPr>
                <w:b/>
                <w:bCs/>
                <w:color w:val="000080"/>
                <w:lang w:eastAsia="zh-CN"/>
              </w:rPr>
            </w:pPr>
            <w:r>
              <w:rPr>
                <w:rFonts w:hint="eastAsia"/>
                <w:b/>
                <w:bCs/>
                <w:color w:val="000080"/>
                <w:lang w:eastAsia="zh-CN"/>
              </w:rPr>
              <w:t>—</w:t>
            </w:r>
          </w:p>
        </w:tc>
        <w:tc>
          <w:tcPr>
            <w:tcW w:w="3694" w:type="dxa"/>
            <w:shd w:val="clear" w:color="auto" w:fill="FFFFFF"/>
          </w:tcPr>
          <w:p>
            <w:pPr>
              <w:pStyle w:val="4"/>
              <w:jc w:val="left"/>
              <w:rPr>
                <w:b/>
                <w:bCs/>
                <w:color w:val="000080"/>
                <w:lang w:val="en-US" w:eastAsia="zh-CN"/>
              </w:rPr>
            </w:pPr>
            <w:r>
              <w:rPr>
                <w:rFonts w:hint="eastAsia"/>
                <w:b/>
                <w:bCs/>
                <w:color w:val="000080"/>
                <w:lang w:val="en-US" w:eastAsia="zh-CN"/>
              </w:rPr>
              <w:t>分配有资格的人员</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3.2</w:t>
            </w:r>
          </w:p>
        </w:tc>
        <w:tc>
          <w:tcPr>
            <w:tcW w:w="1650" w:type="dxa"/>
            <w:shd w:val="clear" w:color="auto" w:fill="FFFFFF"/>
          </w:tcPr>
          <w:p>
            <w:pPr>
              <w:rPr>
                <w:b/>
                <w:bCs/>
                <w:color w:val="000080"/>
                <w:spacing w:val="-2"/>
                <w:lang w:eastAsia="zh-CN"/>
              </w:rPr>
            </w:pPr>
          </w:p>
        </w:tc>
        <w:tc>
          <w:tcPr>
            <w:tcW w:w="2377" w:type="dxa"/>
            <w:shd w:val="clear" w:color="auto" w:fill="D9D9D9"/>
            <w:vAlign w:val="center"/>
          </w:tcPr>
          <w:p>
            <w:pPr>
              <w:pStyle w:val="4"/>
              <w:jc w:val="center"/>
              <w:rPr>
                <w:b/>
                <w:bCs/>
                <w:color w:val="000080"/>
                <w:lang w:eastAsia="zh-CN"/>
              </w:rPr>
            </w:pPr>
            <w:r>
              <w:rPr>
                <w:rFonts w:hint="eastAsia"/>
                <w:b/>
                <w:bCs/>
                <w:color w:val="000080"/>
                <w:lang w:eastAsia="zh-CN"/>
              </w:rPr>
              <w:t>—</w:t>
            </w:r>
          </w:p>
        </w:tc>
        <w:tc>
          <w:tcPr>
            <w:tcW w:w="3694" w:type="dxa"/>
            <w:shd w:val="clear" w:color="auto" w:fill="FFFFFF"/>
          </w:tcPr>
          <w:p>
            <w:pPr>
              <w:pStyle w:val="4"/>
              <w:jc w:val="left"/>
              <w:rPr>
                <w:b/>
                <w:bCs/>
                <w:color w:val="000080"/>
                <w:lang w:val="en-US" w:eastAsia="zh-CN"/>
              </w:rPr>
            </w:pPr>
            <w:r>
              <w:rPr>
                <w:rFonts w:hint="eastAsia"/>
                <w:b/>
                <w:bCs/>
                <w:color w:val="000080"/>
                <w:lang w:eastAsia="zh-CN"/>
              </w:rPr>
              <w:t>确定风险可接受准则的</w:t>
            </w:r>
            <w:r>
              <w:rPr>
                <w:rFonts w:hint="eastAsia"/>
                <w:b/>
                <w:bCs/>
                <w:color w:val="000080"/>
                <w:lang w:val="en-US" w:eastAsia="zh-CN"/>
              </w:rPr>
              <w:t>方针</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04" w:type="dxa"/>
            <w:shd w:val="clear" w:color="auto" w:fill="FFFFFF"/>
          </w:tcPr>
          <w:p>
            <w:pPr>
              <w:pStyle w:val="4"/>
              <w:rPr>
                <w:b/>
                <w:bCs/>
                <w:color w:val="000080"/>
                <w:lang w:eastAsia="zh-CN"/>
              </w:rPr>
            </w:pPr>
            <w:r>
              <w:rPr>
                <w:rFonts w:hint="eastAsia"/>
                <w:b/>
                <w:bCs/>
                <w:color w:val="000080"/>
                <w:lang w:eastAsia="zh-CN"/>
              </w:rPr>
              <w:t>3.3</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pStyle w:val="4"/>
              <w:jc w:val="left"/>
              <w:rPr>
                <w:b/>
                <w:bCs/>
                <w:color w:val="000080"/>
                <w:lang w:val="en-US" w:eastAsia="zh-CN"/>
              </w:rPr>
            </w:pPr>
            <w:r>
              <w:rPr>
                <w:rFonts w:hint="eastAsia"/>
                <w:b/>
                <w:bCs/>
                <w:color w:val="000080"/>
                <w:lang w:val="en-US" w:eastAsia="zh-CN"/>
              </w:rPr>
              <w:t>人员资格</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3.4a</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pStyle w:val="4"/>
              <w:rPr>
                <w:b/>
                <w:bCs/>
                <w:color w:val="000080"/>
                <w:lang w:eastAsia="zh-CN"/>
              </w:rPr>
            </w:pPr>
            <w:r>
              <w:rPr>
                <w:rFonts w:hint="eastAsia"/>
                <w:b/>
                <w:bCs/>
                <w:color w:val="000080"/>
                <w:lang w:eastAsia="zh-CN"/>
              </w:rPr>
              <w:t>策划的风险管理活动范围，识别和描述医疗器械和适用于计划每个要素的生命周期阶段。</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3.4b</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rPr>
                <w:b/>
                <w:bCs/>
                <w:color w:val="000080"/>
                <w:spacing w:val="-2"/>
                <w:lang w:eastAsia="zh-CN"/>
              </w:rPr>
            </w:pPr>
            <w:r>
              <w:rPr>
                <w:rFonts w:hint="eastAsia"/>
                <w:b/>
                <w:bCs/>
                <w:color w:val="000080"/>
                <w:spacing w:val="-2"/>
                <w:lang w:eastAsia="zh-CN"/>
              </w:rPr>
              <w:t>职责和权限的分配</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3.4c</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rPr>
                <w:b/>
                <w:bCs/>
                <w:color w:val="000080"/>
                <w:spacing w:val="-2"/>
                <w:lang w:eastAsia="zh-CN"/>
              </w:rPr>
            </w:pPr>
            <w:r>
              <w:rPr>
                <w:rFonts w:hint="eastAsia"/>
                <w:b/>
                <w:bCs/>
                <w:color w:val="000080"/>
                <w:spacing w:val="-2"/>
                <w:lang w:eastAsia="zh-CN"/>
              </w:rPr>
              <w:t>风险管理活动的评审要求</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3.4d</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rPr>
                <w:b/>
                <w:bCs/>
                <w:color w:val="000080"/>
                <w:spacing w:val="-2"/>
                <w:lang w:eastAsia="zh-CN"/>
              </w:rPr>
            </w:pPr>
            <w:r>
              <w:rPr>
                <w:rFonts w:hint="eastAsia"/>
                <w:b/>
                <w:bCs/>
                <w:color w:val="000080"/>
                <w:spacing w:val="-2"/>
                <w:lang w:eastAsia="zh-CN"/>
              </w:rPr>
              <w:t>可接受风险方针的风险可接受性准则</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3.4e</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rPr>
                <w:b/>
                <w:bCs/>
                <w:color w:val="000080"/>
                <w:spacing w:val="-2"/>
                <w:lang w:eastAsia="zh-CN"/>
              </w:rPr>
            </w:pPr>
            <w:r>
              <w:rPr>
                <w:rFonts w:hint="eastAsia"/>
                <w:b/>
                <w:bCs/>
                <w:color w:val="000080"/>
                <w:spacing w:val="-2"/>
                <w:lang w:eastAsia="zh-CN"/>
              </w:rPr>
              <w:t>验证活动</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3.5</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vAlign w:val="center"/>
          </w:tcPr>
          <w:p>
            <w:pPr>
              <w:pStyle w:val="4"/>
              <w:jc w:val="left"/>
              <w:rPr>
                <w:b/>
                <w:bCs/>
                <w:color w:val="000080"/>
                <w:lang w:eastAsia="zh-CN"/>
              </w:rPr>
            </w:pPr>
          </w:p>
        </w:tc>
        <w:tc>
          <w:tcPr>
            <w:tcW w:w="3694" w:type="dxa"/>
            <w:shd w:val="clear" w:color="auto" w:fill="FFFFFF"/>
          </w:tcPr>
          <w:p>
            <w:pPr>
              <w:rPr>
                <w:b/>
                <w:bCs/>
                <w:color w:val="000080"/>
                <w:spacing w:val="-2"/>
                <w:lang w:val="en-US" w:eastAsia="zh-CN"/>
              </w:rPr>
            </w:pPr>
            <w:r>
              <w:rPr>
                <w:rFonts w:hint="eastAsia"/>
                <w:b/>
                <w:bCs/>
                <w:color w:val="000080"/>
                <w:spacing w:val="-2"/>
                <w:lang w:val="en-US" w:eastAsia="zh-CN"/>
              </w:rPr>
              <w:t>风险管理文档</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4.1</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numPr>
                <w:ilvl w:val="0"/>
                <w:numId w:val="3"/>
              </w:numPr>
              <w:rPr>
                <w:b/>
                <w:bCs/>
                <w:color w:val="000080"/>
                <w:spacing w:val="-2"/>
                <w:lang w:eastAsia="zh-CN"/>
              </w:rPr>
            </w:pPr>
            <w:r>
              <w:rPr>
                <w:rFonts w:hint="eastAsia"/>
                <w:b/>
                <w:bCs/>
                <w:color w:val="000080"/>
                <w:spacing w:val="-2"/>
                <w:lang w:eastAsia="zh-CN"/>
              </w:rPr>
              <w:t>描述和识别所分析的医疗器械;</w:t>
            </w:r>
          </w:p>
          <w:p>
            <w:pPr>
              <w:numPr>
                <w:ilvl w:val="0"/>
                <w:numId w:val="3"/>
              </w:numPr>
              <w:rPr>
                <w:b/>
                <w:bCs/>
                <w:color w:val="000080"/>
                <w:spacing w:val="-2"/>
                <w:lang w:eastAsia="zh-CN"/>
              </w:rPr>
            </w:pPr>
            <w:r>
              <w:rPr>
                <w:rFonts w:hint="eastAsia"/>
                <w:b/>
                <w:bCs/>
                <w:color w:val="000080"/>
                <w:spacing w:val="-2"/>
                <w:lang w:eastAsia="zh-CN"/>
              </w:rPr>
              <w:t>识别完成风险分析的一个或多个人员和组织;</w:t>
            </w:r>
          </w:p>
          <w:p>
            <w:pPr>
              <w:numPr>
                <w:ilvl w:val="0"/>
                <w:numId w:val="3"/>
              </w:numPr>
              <w:rPr>
                <w:b/>
                <w:bCs/>
                <w:color w:val="000080"/>
                <w:spacing w:val="-2"/>
                <w:lang w:eastAsia="zh-CN"/>
              </w:rPr>
            </w:pPr>
            <w:r>
              <w:rPr>
                <w:rFonts w:hint="eastAsia"/>
                <w:b/>
                <w:bCs/>
                <w:color w:val="000080"/>
                <w:spacing w:val="-2"/>
                <w:lang w:eastAsia="zh-CN"/>
              </w:rPr>
              <w:t>风险分析的范围和日期。</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4.2</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eastAsia="zh-CN"/>
              </w:rPr>
            </w:pPr>
            <w:r>
              <w:rPr>
                <w:rFonts w:hint="eastAsia"/>
                <w:b/>
                <w:bCs/>
                <w:color w:val="000080"/>
                <w:lang w:eastAsia="zh-CN"/>
              </w:rPr>
              <w:t>医疗器械预期用途和与安全有关特征的识别</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4.3</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autoSpaceDE w:val="0"/>
              <w:autoSpaceDN w:val="0"/>
              <w:adjustRightInd w:val="0"/>
              <w:rPr>
                <w:b/>
                <w:bCs/>
                <w:color w:val="000080"/>
                <w:spacing w:val="-2"/>
                <w:lang w:eastAsia="zh-CN"/>
              </w:rPr>
            </w:pPr>
          </w:p>
        </w:tc>
        <w:tc>
          <w:tcPr>
            <w:tcW w:w="3694" w:type="dxa"/>
            <w:shd w:val="clear" w:color="auto" w:fill="FFFFFF"/>
          </w:tcPr>
          <w:p>
            <w:pPr>
              <w:pStyle w:val="4"/>
              <w:rPr>
                <w:b/>
                <w:bCs/>
                <w:color w:val="000080"/>
                <w:lang w:eastAsia="zh-CN"/>
              </w:rPr>
            </w:pPr>
            <w:r>
              <w:rPr>
                <w:rFonts w:hint="eastAsia"/>
                <w:b/>
                <w:bCs/>
                <w:color w:val="000080"/>
                <w:lang w:eastAsia="zh-CN"/>
              </w:rPr>
              <w:t>危险（源）的识别</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4.4</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autoSpaceDE w:val="0"/>
              <w:autoSpaceDN w:val="0"/>
              <w:adjustRightInd w:val="0"/>
              <w:rPr>
                <w:b/>
                <w:bCs/>
                <w:color w:val="000080"/>
                <w:spacing w:val="-2"/>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估计每个危险情况的风险</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5</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风险评价</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6.2</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风险控制方案分析</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6.3</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风险控制措施的实施</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6.4</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剩余风险评价</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6.5</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风险/收益分析</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6.6a</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新的危险（源）或危险情况的引入</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6.6b</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是否由于风险控制措施的引入，影响了对以前识别的危险情况所估计的风险。</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6.7</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风险控制的完整性</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7</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综合剩余风险的可接受性评价</w:t>
            </w:r>
          </w:p>
        </w:tc>
        <w:tc>
          <w:tcPr>
            <w:tcW w:w="1127"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4" w:type="dxa"/>
            <w:shd w:val="clear" w:color="auto" w:fill="FFFFFF"/>
          </w:tcPr>
          <w:p>
            <w:pPr>
              <w:pStyle w:val="4"/>
              <w:rPr>
                <w:b/>
                <w:bCs/>
                <w:color w:val="000080"/>
                <w:lang w:eastAsia="zh-CN"/>
              </w:rPr>
            </w:pPr>
            <w:r>
              <w:rPr>
                <w:rFonts w:hint="eastAsia"/>
                <w:b/>
                <w:bCs/>
                <w:color w:val="000080"/>
                <w:lang w:eastAsia="zh-CN"/>
              </w:rPr>
              <w:t>8</w:t>
            </w:r>
          </w:p>
        </w:tc>
        <w:tc>
          <w:tcPr>
            <w:tcW w:w="1650" w:type="dxa"/>
            <w:shd w:val="clear" w:color="auto" w:fill="D9D9D9"/>
          </w:tcPr>
          <w:p>
            <w:pPr>
              <w:jc w:val="center"/>
              <w:rPr>
                <w:b/>
                <w:bCs/>
                <w:color w:val="000080"/>
                <w:spacing w:val="-2"/>
                <w:lang w:eastAsia="zh-CN"/>
              </w:rPr>
            </w:pPr>
            <w:r>
              <w:rPr>
                <w:rFonts w:hint="eastAsia"/>
                <w:b/>
                <w:bCs/>
                <w:color w:val="000080"/>
                <w:spacing w:val="-2"/>
                <w:lang w:eastAsia="zh-CN"/>
              </w:rPr>
              <w:t>—</w:t>
            </w:r>
          </w:p>
        </w:tc>
        <w:tc>
          <w:tcPr>
            <w:tcW w:w="2377" w:type="dxa"/>
            <w:shd w:val="clear" w:color="auto" w:fill="FFFFFF"/>
          </w:tcPr>
          <w:p>
            <w:pPr>
              <w:pStyle w:val="4"/>
              <w:jc w:val="left"/>
              <w:rPr>
                <w:b/>
                <w:bCs/>
                <w:color w:val="000080"/>
                <w:lang w:eastAsia="zh-CN"/>
              </w:rPr>
            </w:pPr>
          </w:p>
        </w:tc>
        <w:tc>
          <w:tcPr>
            <w:tcW w:w="3694" w:type="dxa"/>
            <w:shd w:val="clear" w:color="auto" w:fill="FFFFFF"/>
          </w:tcPr>
          <w:p>
            <w:pPr>
              <w:pStyle w:val="4"/>
              <w:rPr>
                <w:b/>
                <w:bCs/>
                <w:color w:val="000080"/>
                <w:lang w:val="en-US" w:eastAsia="zh-CN"/>
              </w:rPr>
            </w:pPr>
            <w:r>
              <w:rPr>
                <w:rFonts w:hint="eastAsia"/>
                <w:b/>
                <w:bCs/>
                <w:color w:val="000080"/>
                <w:lang w:val="en-US" w:eastAsia="zh-CN"/>
              </w:rPr>
              <w:t>风险管理报告</w:t>
            </w:r>
          </w:p>
        </w:tc>
        <w:tc>
          <w:tcPr>
            <w:tcW w:w="1127" w:type="dxa"/>
            <w:shd w:val="clear" w:color="auto" w:fill="FFFFFF"/>
          </w:tcPr>
          <w:p>
            <w:pPr>
              <w:pStyle w:val="4"/>
              <w:rPr>
                <w:b/>
                <w:bCs/>
                <w:color w:val="000080"/>
                <w:lang w:eastAsia="zh-CN"/>
              </w:rPr>
            </w:pPr>
          </w:p>
        </w:tc>
      </w:tr>
    </w:tbl>
    <w:p/>
    <w:tbl>
      <w:tblPr>
        <w:tblStyle w:val="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95"/>
        <w:gridCol w:w="4394"/>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4" w:type="dxa"/>
            <w:tcBorders>
              <w:bottom w:val="single" w:color="auto" w:sz="4" w:space="0"/>
            </w:tcBorders>
            <w:shd w:val="clear" w:color="auto" w:fill="FFFFFF"/>
          </w:tcPr>
          <w:p>
            <w:pPr>
              <w:pStyle w:val="4"/>
              <w:rPr>
                <w:b/>
                <w:bCs/>
                <w:color w:val="000080"/>
                <w:lang w:eastAsia="zh-CN"/>
              </w:rPr>
            </w:pPr>
            <w:r>
              <w:rPr>
                <w:rFonts w:hint="eastAsia"/>
                <w:b/>
                <w:bCs/>
                <w:color w:val="000080"/>
                <w:lang w:eastAsia="zh-CN"/>
              </w:rPr>
              <w:t>4.</w:t>
            </w:r>
            <w:r>
              <w:rPr>
                <w:b/>
                <w:bCs/>
                <w:color w:val="000080"/>
                <w:lang w:eastAsia="zh-CN"/>
              </w:rPr>
              <w:t>3</w:t>
            </w:r>
          </w:p>
        </w:tc>
        <w:tc>
          <w:tcPr>
            <w:tcW w:w="8848" w:type="dxa"/>
            <w:gridSpan w:val="3"/>
            <w:tcBorders>
              <w:bottom w:val="single" w:color="auto" w:sz="4" w:space="0"/>
            </w:tcBorders>
            <w:shd w:val="clear" w:color="auto" w:fill="FFFFFF"/>
          </w:tcPr>
          <w:p>
            <w:pPr>
              <w:pStyle w:val="4"/>
              <w:rPr>
                <w:b/>
                <w:bCs/>
                <w:color w:val="000080"/>
                <w:lang w:eastAsia="zh-CN"/>
              </w:rPr>
            </w:pPr>
            <w:r>
              <w:rPr>
                <w:rFonts w:hint="eastAsia"/>
                <w:b/>
                <w:bCs/>
                <w:color w:val="000080"/>
                <w:spacing w:val="-2"/>
                <w:lang w:eastAsia="zh-CN"/>
              </w:rPr>
              <w:t>风险管理文件: 基本性能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blHeader/>
          <w:jc w:val="center"/>
        </w:trPr>
        <w:tc>
          <w:tcPr>
            <w:tcW w:w="1999" w:type="dxa"/>
            <w:gridSpan w:val="2"/>
            <w:shd w:val="clear" w:color="auto" w:fill="E6E6E6"/>
            <w:vAlign w:val="center"/>
          </w:tcPr>
          <w:p>
            <w:pPr>
              <w:pStyle w:val="4"/>
              <w:jc w:val="center"/>
              <w:rPr>
                <w:b/>
                <w:bCs/>
                <w:color w:val="000080"/>
                <w:lang w:eastAsia="zh-CN"/>
              </w:rPr>
            </w:pPr>
            <w:r>
              <w:rPr>
                <w:rFonts w:hint="eastAsia"/>
                <w:b/>
                <w:bCs/>
                <w:color w:val="000080"/>
                <w:lang w:eastAsia="zh-CN"/>
              </w:rPr>
              <w:t>基本性能</w:t>
            </w:r>
          </w:p>
        </w:tc>
        <w:tc>
          <w:tcPr>
            <w:tcW w:w="4394" w:type="dxa"/>
            <w:tcBorders>
              <w:bottom w:val="single" w:color="auto" w:sz="4" w:space="0"/>
            </w:tcBorders>
            <w:shd w:val="clear" w:color="auto" w:fill="E6E6E6"/>
            <w:vAlign w:val="center"/>
          </w:tcPr>
          <w:p>
            <w:pPr>
              <w:pStyle w:val="4"/>
              <w:jc w:val="center"/>
              <w:rPr>
                <w:b/>
                <w:bCs/>
                <w:color w:val="000080"/>
                <w:lang w:eastAsia="zh-CN"/>
              </w:rPr>
            </w:pPr>
            <w:r>
              <w:rPr>
                <w:rFonts w:hint="eastAsia"/>
                <w:b/>
                <w:bCs/>
                <w:color w:val="000080"/>
                <w:lang w:eastAsia="zh-CN"/>
              </w:rPr>
              <w:t>制造商要求</w:t>
            </w:r>
            <w:r>
              <w:rPr>
                <w:b/>
                <w:bCs/>
                <w:color w:val="000080"/>
                <w:lang w:eastAsia="zh-CN"/>
              </w:rPr>
              <w:t>、</w:t>
            </w:r>
            <w:r>
              <w:rPr>
                <w:rFonts w:hint="eastAsia"/>
                <w:b/>
                <w:bCs/>
                <w:color w:val="000080"/>
                <w:lang w:eastAsia="zh-CN"/>
              </w:rPr>
              <w:t>并列</w:t>
            </w:r>
            <w:r>
              <w:rPr>
                <w:b/>
                <w:bCs/>
                <w:color w:val="000080"/>
                <w:lang w:eastAsia="zh-CN"/>
              </w:rPr>
              <w:t>标准</w:t>
            </w:r>
            <w:r>
              <w:rPr>
                <w:rFonts w:hint="eastAsia"/>
                <w:b/>
                <w:bCs/>
                <w:color w:val="000080"/>
                <w:lang w:eastAsia="zh-CN"/>
              </w:rPr>
              <w:t>或</w:t>
            </w:r>
            <w:r>
              <w:rPr>
                <w:b/>
                <w:bCs/>
                <w:color w:val="000080"/>
                <w:lang w:eastAsia="zh-CN"/>
              </w:rPr>
              <w:t>专用标准</w:t>
            </w:r>
            <w:r>
              <w:rPr>
                <w:rFonts w:hint="eastAsia"/>
                <w:b/>
                <w:bCs/>
                <w:color w:val="000080"/>
                <w:lang w:eastAsia="zh-CN"/>
              </w:rPr>
              <w:t>要求</w:t>
            </w:r>
          </w:p>
        </w:tc>
        <w:tc>
          <w:tcPr>
            <w:tcW w:w="3359" w:type="dxa"/>
            <w:shd w:val="clear" w:color="auto" w:fill="E6E6E6"/>
            <w:vAlign w:val="center"/>
          </w:tcPr>
          <w:p>
            <w:pPr>
              <w:pStyle w:val="4"/>
              <w:spacing w:before="240"/>
              <w:jc w:val="center"/>
              <w:rPr>
                <w:b/>
                <w:bCs/>
                <w:color w:val="000080"/>
                <w:lang w:eastAsia="zh-CN"/>
              </w:rPr>
            </w:pPr>
            <w:r>
              <w:rPr>
                <w:rFonts w:hint="eastAsia"/>
                <w:b/>
                <w:bCs/>
                <w:color w:val="00008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99" w:type="dxa"/>
            <w:gridSpan w:val="2"/>
            <w:shd w:val="clear" w:color="auto" w:fill="FFFFFF"/>
          </w:tcPr>
          <w:p>
            <w:pPr>
              <w:pStyle w:val="4"/>
              <w:rPr>
                <w:b/>
                <w:bCs/>
                <w:color w:val="000080"/>
                <w:lang w:eastAsia="zh-CN"/>
              </w:rPr>
            </w:pPr>
          </w:p>
        </w:tc>
        <w:tc>
          <w:tcPr>
            <w:tcW w:w="4394" w:type="dxa"/>
            <w:shd w:val="clear" w:color="auto" w:fill="auto"/>
          </w:tcPr>
          <w:p>
            <w:pPr>
              <w:pStyle w:val="4"/>
              <w:jc w:val="left"/>
              <w:rPr>
                <w:b/>
                <w:bCs/>
                <w:color w:val="000080"/>
                <w:lang w:eastAsia="zh-CN"/>
              </w:rPr>
            </w:pPr>
          </w:p>
        </w:tc>
        <w:tc>
          <w:tcPr>
            <w:tcW w:w="3359" w:type="dxa"/>
            <w:shd w:val="clear" w:color="auto" w:fill="FFFFFF"/>
          </w:tcPr>
          <w:p>
            <w:pPr>
              <w:pStyle w:val="4"/>
              <w:rPr>
                <w:b/>
                <w:bCs/>
                <w:color w:val="00008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752" w:type="dxa"/>
            <w:gridSpan w:val="4"/>
            <w:shd w:val="clear" w:color="auto" w:fill="FFFFFF"/>
          </w:tcPr>
          <w:p>
            <w:pPr>
              <w:pStyle w:val="4"/>
              <w:rPr>
                <w:b/>
                <w:bCs/>
                <w:color w:val="000080"/>
                <w:lang w:eastAsia="zh-CN"/>
              </w:rPr>
            </w:pPr>
            <w:r>
              <w:rPr>
                <w:rFonts w:hint="eastAsia"/>
                <w:b/>
                <w:bCs/>
                <w:color w:val="000080"/>
                <w:lang w:eastAsia="zh-CN"/>
              </w:rPr>
              <w:t>补充</w:t>
            </w:r>
            <w:r>
              <w:rPr>
                <w:b/>
                <w:bCs/>
                <w:color w:val="000080"/>
                <w:lang w:eastAsia="zh-CN"/>
              </w:rPr>
              <w:t>信息：</w:t>
            </w:r>
          </w:p>
          <w:p>
            <w:pPr>
              <w:pStyle w:val="4"/>
              <w:rPr>
                <w:b/>
                <w:bCs/>
                <w:color w:val="000080"/>
                <w:lang w:eastAsia="zh-CN"/>
              </w:rPr>
            </w:pPr>
            <w:r>
              <w:rPr>
                <w:rFonts w:hint="eastAsia"/>
                <w:b/>
                <w:bCs/>
                <w:color w:val="000080"/>
                <w:lang w:eastAsia="zh-CN"/>
              </w:rPr>
              <w:t>基本性能是某种</w:t>
            </w:r>
            <w:r>
              <w:rPr>
                <w:b/>
                <w:bCs/>
                <w:color w:val="000080"/>
                <w:lang w:eastAsia="zh-CN"/>
              </w:rPr>
              <w:t>性能或功能</w:t>
            </w:r>
            <w:r>
              <w:rPr>
                <w:rFonts w:hint="eastAsia"/>
                <w:b/>
                <w:bCs/>
                <w:color w:val="000080"/>
                <w:lang w:eastAsia="zh-CN"/>
              </w:rPr>
              <w:t>，</w:t>
            </w:r>
            <w:r>
              <w:rPr>
                <w:b/>
                <w:bCs/>
                <w:color w:val="000080"/>
                <w:lang w:eastAsia="zh-CN"/>
              </w:rPr>
              <w:t>当</w:t>
            </w:r>
            <w:r>
              <w:rPr>
                <w:rFonts w:hint="eastAsia"/>
                <w:b/>
                <w:bCs/>
                <w:color w:val="000080"/>
                <w:lang w:eastAsia="zh-CN"/>
              </w:rPr>
              <w:t>基本</w:t>
            </w:r>
            <w:r>
              <w:rPr>
                <w:b/>
                <w:bCs/>
                <w:color w:val="000080"/>
                <w:lang w:eastAsia="zh-CN"/>
              </w:rPr>
              <w:t>性能</w:t>
            </w:r>
            <w:r>
              <w:rPr>
                <w:rFonts w:hint="eastAsia"/>
                <w:b/>
                <w:bCs/>
                <w:color w:val="000080"/>
                <w:lang w:eastAsia="zh-CN"/>
              </w:rPr>
              <w:t>丧失</w:t>
            </w:r>
            <w:r>
              <w:rPr>
                <w:b/>
                <w:bCs/>
                <w:color w:val="000080"/>
                <w:lang w:eastAsia="zh-CN"/>
              </w:rPr>
              <w:t>或降格后</w:t>
            </w:r>
            <w:r>
              <w:rPr>
                <w:rFonts w:hint="eastAsia"/>
                <w:b/>
                <w:bCs/>
                <w:color w:val="000080"/>
                <w:lang w:eastAsia="zh-CN"/>
              </w:rPr>
              <w:t>会</w:t>
            </w:r>
            <w:r>
              <w:rPr>
                <w:b/>
                <w:bCs/>
                <w:color w:val="000080"/>
                <w:lang w:eastAsia="zh-CN"/>
              </w:rPr>
              <w:t>导致不可接受的风险</w:t>
            </w:r>
          </w:p>
        </w:tc>
      </w:tr>
    </w:tbl>
    <w:p>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b/>
        <w:bCs/>
        <w:spacing w:val="-2"/>
        <w:lang w:val="en-US" w:eastAsia="zh-CN"/>
      </w:rPr>
      <w:t xml:space="preserve">                </w:t>
    </w:r>
    <w:r>
      <w:rPr>
        <w:b/>
        <w:bCs/>
        <w:spacing w:val="-2"/>
        <w:lang w:eastAsia="zh-CN"/>
      </w:rPr>
      <w:t xml:space="preserve"> </w:t>
    </w:r>
    <w:r>
      <w:rPr>
        <w:rFonts w:hint="eastAsia"/>
        <w:b/>
        <w:bCs/>
        <w:lang w:val="en-US" w:eastAsia="zh-CN"/>
      </w:rPr>
      <w:t>风险管理文档检查表</w:t>
    </w:r>
    <w:r>
      <w:pict>
        <v:shape id="_x0000_s3073" o:spid="_x0000_s3073" o:spt="75" type="#_x0000_t75" style="position:absolute;left:0pt;margin-left:-39.6pt;margin-top:-30.5pt;height:58.35pt;width:84.65pt;z-index:251659264;mso-width-relative:page;mso-height-relative:page;" o:ole="t" filled="f" o:preferrelative="t" stroked="f" coordsize="21600,21600">
          <v:path/>
          <v:fill on="f" focussize="0,0"/>
          <v:stroke on="f" joinstyle="miter"/>
          <v:imagedata r:id="rId2" o:title=""/>
          <o:lock v:ext="edit" aspectratio="t"/>
        </v:shape>
        <o:OLEObject Type="Embed" ProgID="Word.Picture.8" ShapeID="_x0000_s3073" DrawAspect="Content" ObjectID="_1468075725" r:id="rId1">
          <o:LockedField>false</o:LockedField>
        </o:OLEObject>
      </w:pict>
    </w:r>
    <w:r>
      <w:rPr>
        <w:rFonts w:hint="eastAsia"/>
        <w:b/>
        <w:bCs/>
        <w:lang w:val="en-US" w:eastAsia="zh-CN"/>
      </w:rPr>
      <w:t xml:space="preserve">                 </w:t>
    </w:r>
    <w:r>
      <w:rPr>
        <w:b/>
        <w:bCs/>
        <w:lang w:val="en-US"/>
      </w:rPr>
      <w:t xml:space="preserve">Page </w:t>
    </w:r>
    <w:r>
      <w:rPr>
        <w:b/>
        <w:bCs/>
        <w:spacing w:val="-2"/>
      </w:rPr>
      <w:fldChar w:fldCharType="begin"/>
    </w:r>
    <w:r>
      <w:rPr>
        <w:b/>
        <w:bCs/>
        <w:spacing w:val="-2"/>
      </w:rPr>
      <w:instrText xml:space="preserve">page \* arabic</w:instrText>
    </w:r>
    <w:r>
      <w:rPr>
        <w:b/>
        <w:bCs/>
        <w:spacing w:val="-2"/>
      </w:rPr>
      <w:fldChar w:fldCharType="separate"/>
    </w:r>
    <w:r>
      <w:rPr>
        <w:b/>
        <w:bCs/>
        <w:spacing w:val="-2"/>
      </w:rPr>
      <w:t>20</w:t>
    </w:r>
    <w:r>
      <w:rPr>
        <w:b/>
        <w:bCs/>
        <w:spacing w:val="-2"/>
      </w:rPr>
      <w:fldChar w:fldCharType="end"/>
    </w:r>
    <w:r>
      <w:rPr>
        <w:b/>
        <w:bCs/>
        <w:spacing w:val="-2"/>
      </w:rPr>
      <w:t xml:space="preserve"> of </w:t>
    </w:r>
    <w:r>
      <w:rPr>
        <w:rStyle w:val="10"/>
        <w:rFonts w:ascii="Arial" w:hAnsi="Arial" w:cs="Arial"/>
        <w:b/>
        <w:bCs/>
      </w:rPr>
      <w:fldChar w:fldCharType="begin"/>
    </w:r>
    <w:r>
      <w:rPr>
        <w:rStyle w:val="10"/>
        <w:rFonts w:ascii="Arial" w:hAnsi="Arial" w:cs="Arial"/>
        <w:b/>
        <w:bCs/>
      </w:rPr>
      <w:instrText xml:space="preserve"> NUMPAGES </w:instrText>
    </w:r>
    <w:r>
      <w:rPr>
        <w:rStyle w:val="10"/>
        <w:rFonts w:ascii="Arial" w:hAnsi="Arial" w:cs="Arial"/>
        <w:b/>
        <w:bCs/>
      </w:rPr>
      <w:fldChar w:fldCharType="separate"/>
    </w:r>
    <w:r>
      <w:rPr>
        <w:rStyle w:val="10"/>
        <w:rFonts w:ascii="Arial" w:hAnsi="Arial" w:cs="Arial"/>
        <w:b/>
        <w:bCs/>
      </w:rPr>
      <w:t>20</w:t>
    </w:r>
    <w:r>
      <w:rPr>
        <w:rStyle w:val="10"/>
        <w:rFonts w:ascii="Arial" w:hAnsi="Arial" w:cs="Arial"/>
        <w:b/>
        <w:bCs/>
      </w:rPr>
      <w:fldChar w:fldCharType="end"/>
    </w:r>
    <w:r>
      <w:rPr>
        <w:b/>
        <w:bCs/>
        <w:spacing w:val="-2"/>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17"/>
      <w:suff w:val="nothing"/>
      <w:lvlText w:val="%1——"/>
      <w:lvlJc w:val="left"/>
      <w:pPr>
        <w:ind w:left="1401"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4C50F90"/>
    <w:multiLevelType w:val="multilevel"/>
    <w:tmpl w:val="44C50F90"/>
    <w:lvl w:ilvl="0" w:tentative="0">
      <w:start w:val="1"/>
      <w:numFmt w:val="lowerLetter"/>
      <w:pStyle w:val="18"/>
      <w:lvlText w:val="%1)"/>
      <w:lvlJc w:val="left"/>
      <w:pPr>
        <w:tabs>
          <w:tab w:val="left" w:pos="846"/>
        </w:tabs>
        <w:ind w:left="845"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ascii="宋体" w:eastAsia="宋体"/>
        <w:lang w:val="en-US" w:eastAsia="zh-CN" w:bidi="ar-S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84FC100"/>
    <w:multiLevelType w:val="singleLevel"/>
    <w:tmpl w:val="684FC100"/>
    <w:lvl w:ilvl="0" w:tentative="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NDBjNGE3MzE0YzQ2MGYyMWI2YzI2ZjRkMmI2YjMifQ=="/>
  </w:docVars>
  <w:rsids>
    <w:rsidRoot w:val="002D4FB6"/>
    <w:rsid w:val="00044E24"/>
    <w:rsid w:val="000A3411"/>
    <w:rsid w:val="000B775C"/>
    <w:rsid w:val="000C76CB"/>
    <w:rsid w:val="00101B73"/>
    <w:rsid w:val="00124A55"/>
    <w:rsid w:val="001425E9"/>
    <w:rsid w:val="00174425"/>
    <w:rsid w:val="001A405A"/>
    <w:rsid w:val="001E7FB9"/>
    <w:rsid w:val="00240E1F"/>
    <w:rsid w:val="002A4FEF"/>
    <w:rsid w:val="002D2A71"/>
    <w:rsid w:val="002D4FB6"/>
    <w:rsid w:val="0030705C"/>
    <w:rsid w:val="00315A3E"/>
    <w:rsid w:val="003545D3"/>
    <w:rsid w:val="00393481"/>
    <w:rsid w:val="00425CC2"/>
    <w:rsid w:val="00430417"/>
    <w:rsid w:val="004C51F9"/>
    <w:rsid w:val="00550F63"/>
    <w:rsid w:val="005F1DFD"/>
    <w:rsid w:val="006344AD"/>
    <w:rsid w:val="00685AE6"/>
    <w:rsid w:val="006A587E"/>
    <w:rsid w:val="00711A6C"/>
    <w:rsid w:val="00714742"/>
    <w:rsid w:val="007422F3"/>
    <w:rsid w:val="007C2869"/>
    <w:rsid w:val="007F176D"/>
    <w:rsid w:val="00805D63"/>
    <w:rsid w:val="0082068E"/>
    <w:rsid w:val="008461D0"/>
    <w:rsid w:val="008C2A48"/>
    <w:rsid w:val="00975FB8"/>
    <w:rsid w:val="00981B55"/>
    <w:rsid w:val="00996C87"/>
    <w:rsid w:val="009A24C5"/>
    <w:rsid w:val="009B6146"/>
    <w:rsid w:val="009E2DEC"/>
    <w:rsid w:val="00A2017D"/>
    <w:rsid w:val="00A44BC6"/>
    <w:rsid w:val="00A53FA6"/>
    <w:rsid w:val="00A567A7"/>
    <w:rsid w:val="00A94B31"/>
    <w:rsid w:val="00AC294F"/>
    <w:rsid w:val="00B37C04"/>
    <w:rsid w:val="00B5501F"/>
    <w:rsid w:val="00B60699"/>
    <w:rsid w:val="00B72F3E"/>
    <w:rsid w:val="00B861F0"/>
    <w:rsid w:val="00BE5BC9"/>
    <w:rsid w:val="00C020A0"/>
    <w:rsid w:val="00C71408"/>
    <w:rsid w:val="00CD7204"/>
    <w:rsid w:val="00CE3EE2"/>
    <w:rsid w:val="00CF3801"/>
    <w:rsid w:val="00D23140"/>
    <w:rsid w:val="00D90473"/>
    <w:rsid w:val="00D971F9"/>
    <w:rsid w:val="00DA7002"/>
    <w:rsid w:val="00DC63B5"/>
    <w:rsid w:val="00E34CCA"/>
    <w:rsid w:val="00E40FF6"/>
    <w:rsid w:val="00E4594F"/>
    <w:rsid w:val="00E528F7"/>
    <w:rsid w:val="00E5648B"/>
    <w:rsid w:val="00E8713F"/>
    <w:rsid w:val="00F01FB6"/>
    <w:rsid w:val="00F45131"/>
    <w:rsid w:val="00F52741"/>
    <w:rsid w:val="00F73689"/>
    <w:rsid w:val="00F77E8E"/>
    <w:rsid w:val="00F91394"/>
    <w:rsid w:val="00FB5F1F"/>
    <w:rsid w:val="00FB7707"/>
    <w:rsid w:val="00FC4628"/>
    <w:rsid w:val="00FD2E78"/>
    <w:rsid w:val="00FF099D"/>
    <w:rsid w:val="0CA0224C"/>
    <w:rsid w:val="10C06A5A"/>
    <w:rsid w:val="141863FB"/>
    <w:rsid w:val="15C17ED0"/>
    <w:rsid w:val="1AA0152E"/>
    <w:rsid w:val="1B722CCA"/>
    <w:rsid w:val="2D3D0273"/>
    <w:rsid w:val="346E55E0"/>
    <w:rsid w:val="38CA3F78"/>
    <w:rsid w:val="3C4A6447"/>
    <w:rsid w:val="403578B5"/>
    <w:rsid w:val="487430A7"/>
    <w:rsid w:val="489F072B"/>
    <w:rsid w:val="4BED3F83"/>
    <w:rsid w:val="4D6F4601"/>
    <w:rsid w:val="4F936802"/>
    <w:rsid w:val="514A1A32"/>
    <w:rsid w:val="546246AA"/>
    <w:rsid w:val="552271FC"/>
    <w:rsid w:val="5B670C67"/>
    <w:rsid w:val="5DB75CD5"/>
    <w:rsid w:val="62241319"/>
    <w:rsid w:val="65BE7AC9"/>
    <w:rsid w:val="65E23DB8"/>
    <w:rsid w:val="6C2D5EC9"/>
    <w:rsid w:val="6E0D4D69"/>
    <w:rsid w:val="6FCA50CB"/>
    <w:rsid w:val="70F9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rial"/>
      <w:lang w:val="en-GB" w:eastAsia="en-US" w:bidi="ar-SA"/>
    </w:rPr>
  </w:style>
  <w:style w:type="paragraph" w:styleId="2">
    <w:name w:val="heading 3"/>
    <w:basedOn w:val="1"/>
    <w:next w:val="1"/>
    <w:unhideWhenUsed/>
    <w:qFormat/>
    <w:uiPriority w:val="9"/>
    <w:pPr>
      <w:keepNext/>
      <w:keepLines/>
      <w:spacing w:before="10" w:beforeLines="10"/>
      <w:outlineLvl w:val="2"/>
    </w:pPr>
    <w:rPr>
      <w:szCs w:val="21"/>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link w:val="15"/>
    <w:semiHidden/>
    <w:qFormat/>
    <w:uiPriority w:val="0"/>
    <w:pPr>
      <w:widowControl w:val="0"/>
      <w:tabs>
        <w:tab w:val="right" w:leader="dot" w:pos="4421"/>
      </w:tabs>
      <w:suppressAutoHyphens/>
      <w:overflowPunct w:val="0"/>
      <w:autoSpaceDE w:val="0"/>
      <w:autoSpaceDN w:val="0"/>
      <w:adjustRightInd w:val="0"/>
      <w:spacing w:before="66"/>
      <w:jc w:val="both"/>
      <w:textAlignment w:val="baseline"/>
    </w:pPr>
    <w:rPr>
      <w:spacing w:val="-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2"/>
    <w:qFormat/>
    <w:uiPriority w:val="99"/>
    <w:pPr>
      <w:tabs>
        <w:tab w:val="center" w:pos="4320"/>
        <w:tab w:val="right" w:pos="8640"/>
      </w:tabs>
    </w:pPr>
  </w:style>
  <w:style w:type="paragraph" w:styleId="7">
    <w:name w:val="Title"/>
    <w:basedOn w:val="1"/>
    <w:link w:val="13"/>
    <w:qFormat/>
    <w:uiPriority w:val="0"/>
    <w:pPr>
      <w:jc w:val="center"/>
    </w:pPr>
    <w:rPr>
      <w:b/>
      <w:bCs/>
      <w:sz w:val="24"/>
      <w:szCs w:val="24"/>
    </w:rPr>
  </w:style>
  <w:style w:type="character" w:styleId="10">
    <w:name w:val="page number"/>
    <w:semiHidden/>
    <w:qFormat/>
    <w:uiPriority w:val="0"/>
    <w:rPr>
      <w:rFonts w:ascii="Times New Roman" w:hAnsi="Times New Roman" w:cs="Times New Roman"/>
    </w:rPr>
  </w:style>
  <w:style w:type="character" w:styleId="11">
    <w:name w:val="annotation reference"/>
    <w:qFormat/>
    <w:uiPriority w:val="0"/>
    <w:rPr>
      <w:sz w:val="21"/>
      <w:szCs w:val="21"/>
    </w:rPr>
  </w:style>
  <w:style w:type="character" w:customStyle="1" w:styleId="12">
    <w:name w:val="页眉 Char"/>
    <w:basedOn w:val="9"/>
    <w:link w:val="6"/>
    <w:qFormat/>
    <w:uiPriority w:val="99"/>
    <w:rPr>
      <w:rFonts w:ascii="Arial" w:hAnsi="Arial" w:eastAsia="宋体" w:cs="Arial"/>
      <w:kern w:val="0"/>
      <w:sz w:val="20"/>
      <w:szCs w:val="20"/>
      <w:lang w:val="en-GB" w:eastAsia="en-US"/>
    </w:rPr>
  </w:style>
  <w:style w:type="character" w:customStyle="1" w:styleId="13">
    <w:name w:val="标题 Char"/>
    <w:basedOn w:val="9"/>
    <w:link w:val="7"/>
    <w:qFormat/>
    <w:uiPriority w:val="0"/>
    <w:rPr>
      <w:rFonts w:ascii="Arial" w:hAnsi="Arial" w:eastAsia="宋体" w:cs="Arial"/>
      <w:b/>
      <w:bCs/>
      <w:kern w:val="0"/>
      <w:sz w:val="24"/>
      <w:szCs w:val="24"/>
      <w:lang w:val="en-GB" w:eastAsia="en-US"/>
    </w:rPr>
  </w:style>
  <w:style w:type="character" w:customStyle="1" w:styleId="14">
    <w:name w:val="页脚 Char"/>
    <w:basedOn w:val="9"/>
    <w:link w:val="5"/>
    <w:qFormat/>
    <w:uiPriority w:val="99"/>
    <w:rPr>
      <w:rFonts w:ascii="Arial" w:hAnsi="Arial" w:eastAsia="宋体" w:cs="Arial"/>
      <w:kern w:val="0"/>
      <w:sz w:val="18"/>
      <w:szCs w:val="18"/>
      <w:lang w:val="en-GB" w:eastAsia="en-US"/>
    </w:rPr>
  </w:style>
  <w:style w:type="character" w:customStyle="1" w:styleId="15">
    <w:name w:val="正文文本 Char"/>
    <w:basedOn w:val="9"/>
    <w:link w:val="4"/>
    <w:semiHidden/>
    <w:qFormat/>
    <w:uiPriority w:val="0"/>
    <w:rPr>
      <w:rFonts w:ascii="Arial" w:hAnsi="Arial" w:eastAsia="宋体" w:cs="Arial"/>
      <w:spacing w:val="-2"/>
      <w:kern w:val="0"/>
      <w:sz w:val="20"/>
      <w:szCs w:val="20"/>
      <w:lang w:val="en-GB" w:eastAsia="en-US"/>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列项——（一级）"/>
    <w:qFormat/>
    <w:uiPriority w:val="0"/>
    <w:pPr>
      <w:widowControl w:val="0"/>
      <w:numPr>
        <w:ilvl w:val="0"/>
        <w:numId w:val="1"/>
      </w:numPr>
      <w:ind w:left="833"/>
      <w:jc w:val="both"/>
    </w:pPr>
    <w:rPr>
      <w:rFonts w:ascii="宋体" w:hAnsi="Times New Roman" w:eastAsia="宋体" w:cs="Times New Roman"/>
      <w:sz w:val="21"/>
      <w:lang w:val="en-US" w:eastAsia="zh-CN" w:bidi="ar-SA"/>
    </w:rPr>
  </w:style>
  <w:style w:type="paragraph" w:customStyle="1" w:styleId="1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short_text"/>
    <w:basedOn w:val="9"/>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9071</Words>
  <Characters>13296</Characters>
  <Lines>103</Lines>
  <Paragraphs>29</Paragraphs>
  <TotalTime>15</TotalTime>
  <ScaleCrop>false</ScaleCrop>
  <LinksUpToDate>false</LinksUpToDate>
  <CharactersWithSpaces>13806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2022-07-24T12:21:00Z</dcterms:created>
  <dc:creator>dashu</dc:creator>
  <cp:lastModifiedBy>xiaoyun.Feng</cp:lastModifiedBy>
  <dcterms:modified xsi:type="dcterms:W3CDTF">2022-08-03T07:03:53Z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3BB72CEA8C2047999C5DD7021A74B0FA</vt:lpwstr>
  </property>
</Properties>
</file>